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rsidTr="007E048E">
        <w:trPr>
          <w:trHeight w:val="3867"/>
        </w:trPr>
        <w:tc>
          <w:tcPr>
            <w:tcW w:w="8636" w:type="dxa"/>
            <w:tcBorders>
              <w:top w:val="single" w:sz="4" w:space="0" w:color="000000"/>
              <w:bottom w:val="nil"/>
            </w:tcBorders>
          </w:tcPr>
          <w:p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rsidR="00D1302E" w:rsidRPr="00D1302E" w:rsidRDefault="00D1302E" w:rsidP="00DD56DC">
            <w:pPr>
              <w:spacing w:line="260" w:lineRule="exact"/>
              <w:jc w:val="right"/>
              <w:rPr>
                <w:rFonts w:ascii="ＭＳ 明朝" w:eastAsia="ＭＳ 明朝" w:hAnsi="ＭＳ 明朝" w:cs="ＭＳ 明朝"/>
                <w:spacing w:val="6"/>
                <w:kern w:val="0"/>
                <w:szCs w:val="21"/>
              </w:rPr>
            </w:pPr>
          </w:p>
          <w:p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FD6811">
              <w:rPr>
                <w:rFonts w:ascii="ＭＳ 明朝" w:eastAsia="ＭＳ 明朝" w:hAnsi="ＭＳ 明朝" w:cs="ＭＳ 明朝" w:hint="eastAsia"/>
                <w:spacing w:val="6"/>
                <w:kern w:val="0"/>
                <w:szCs w:val="21"/>
              </w:rPr>
              <w:t xml:space="preserve">　2023年　</w:t>
            </w:r>
            <w:r w:rsidR="000825CD">
              <w:rPr>
                <w:rFonts w:ascii="ＭＳ 明朝" w:eastAsia="ＭＳ 明朝" w:hAnsi="ＭＳ 明朝" w:cs="ＭＳ 明朝" w:hint="eastAsia"/>
                <w:spacing w:val="6"/>
                <w:kern w:val="0"/>
                <w:szCs w:val="21"/>
              </w:rPr>
              <w:t>11</w:t>
            </w:r>
            <w:r w:rsidR="00FD6811">
              <w:rPr>
                <w:rFonts w:ascii="ＭＳ 明朝" w:eastAsia="ＭＳ 明朝" w:hAnsi="ＭＳ 明朝" w:cs="ＭＳ 明朝" w:hint="eastAsia"/>
                <w:spacing w:val="6"/>
                <w:kern w:val="0"/>
                <w:szCs w:val="21"/>
              </w:rPr>
              <w:t xml:space="preserve">月　</w:t>
            </w:r>
            <w:r w:rsidR="00AD294D">
              <w:rPr>
                <w:rFonts w:ascii="ＭＳ 明朝" w:eastAsia="ＭＳ 明朝" w:hAnsi="ＭＳ 明朝" w:cs="ＭＳ 明朝" w:hint="eastAsia"/>
                <w:spacing w:val="6"/>
                <w:kern w:val="0"/>
                <w:szCs w:val="21"/>
              </w:rPr>
              <w:t>7</w:t>
            </w:r>
            <w:bookmarkStart w:id="0" w:name="_GoBack"/>
            <w:bookmarkEnd w:id="0"/>
            <w:r w:rsidRPr="00D1302E">
              <w:rPr>
                <w:rFonts w:ascii="ＭＳ 明朝" w:eastAsia="ＭＳ 明朝" w:hAnsi="ＭＳ 明朝" w:cs="ＭＳ 明朝" w:hint="eastAsia"/>
                <w:spacing w:val="6"/>
                <w:kern w:val="0"/>
                <w:szCs w:val="21"/>
              </w:rPr>
              <w:t>日</w:t>
            </w:r>
          </w:p>
          <w:p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80486">
              <w:rPr>
                <w:rFonts w:ascii="ＭＳ 明朝" w:eastAsia="ＭＳ 明朝" w:hAnsi="ＭＳ 明朝" w:hint="eastAsia"/>
                <w:spacing w:val="6"/>
                <w:kern w:val="0"/>
                <w:szCs w:val="21"/>
              </w:rPr>
              <w:t xml:space="preserve">　にほんちょうざいかぶしきがいしゃ</w:t>
            </w:r>
            <w:r w:rsidR="00FB5182">
              <w:rPr>
                <w:rFonts w:ascii="ＭＳ 明朝" w:eastAsia="ＭＳ 明朝" w:hAnsi="ＭＳ 明朝" w:hint="eastAsia"/>
                <w:spacing w:val="6"/>
                <w:kern w:val="0"/>
                <w:szCs w:val="21"/>
              </w:rPr>
              <w:t xml:space="preserve">      </w:t>
            </w:r>
          </w:p>
          <w:p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880486">
              <w:rPr>
                <w:rFonts w:ascii="ＭＳ 明朝" w:eastAsia="ＭＳ 明朝" w:hAnsi="ＭＳ 明朝" w:cs="ＭＳ 明朝" w:hint="eastAsia"/>
                <w:spacing w:val="6"/>
                <w:kern w:val="0"/>
                <w:szCs w:val="21"/>
              </w:rPr>
              <w:t>日本調剤株式会社</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80486">
              <w:rPr>
                <w:rFonts w:ascii="ＭＳ 明朝" w:eastAsia="ＭＳ 明朝" w:hAnsi="ＭＳ 明朝" w:hint="eastAsia"/>
                <w:spacing w:val="6"/>
                <w:kern w:val="0"/>
                <w:szCs w:val="21"/>
              </w:rPr>
              <w:t xml:space="preserve">　みつはら　ようすけ　　　　</w:t>
            </w:r>
            <w:r w:rsidR="00FB5182">
              <w:rPr>
                <w:rFonts w:ascii="ＭＳ 明朝" w:eastAsia="ＭＳ 明朝" w:hAnsi="ＭＳ 明朝" w:hint="eastAsia"/>
                <w:spacing w:val="6"/>
                <w:kern w:val="0"/>
                <w:szCs w:val="21"/>
              </w:rPr>
              <w:t xml:space="preserve">            </w:t>
            </w:r>
          </w:p>
          <w:p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880486">
              <w:rPr>
                <w:rFonts w:ascii="ＭＳ 明朝" w:eastAsia="ＭＳ 明朝" w:hAnsi="ＭＳ 明朝" w:cs="ＭＳ 明朝" w:hint="eastAsia"/>
                <w:spacing w:val="6"/>
                <w:kern w:val="0"/>
                <w:szCs w:val="21"/>
              </w:rPr>
              <w:t xml:space="preserve">　三津原　庸介</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880486">
              <w:rPr>
                <w:rFonts w:ascii="ＭＳ 明朝" w:eastAsia="ＭＳ 明朝" w:hAnsi="ＭＳ 明朝" w:cs="ＭＳ 明朝" w:hint="eastAsia"/>
                <w:spacing w:val="6"/>
                <w:kern w:val="0"/>
                <w:szCs w:val="21"/>
              </w:rPr>
              <w:t>100-6737</w:t>
            </w:r>
          </w:p>
          <w:p w:rsidR="00D1302E" w:rsidRDefault="00880486" w:rsidP="00F66735">
            <w:pPr>
              <w:spacing w:afterLines="50" w:after="120" w:line="260" w:lineRule="exact"/>
              <w:ind w:leftChars="1261" w:left="2699"/>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東京都千代田区丸の内1丁目9番1号</w:t>
            </w:r>
          </w:p>
          <w:p w:rsidR="00880486" w:rsidRPr="00D1302E" w:rsidRDefault="0088048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グラントウキョウノースタワー37階</w:t>
            </w:r>
          </w:p>
          <w:p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880486" w:rsidRPr="00146253">
              <w:rPr>
                <w:rFonts w:ascii="ＭＳ 明朝" w:eastAsia="ＭＳ 明朝" w:hAnsi="ＭＳ 明朝" w:cs="Arial"/>
                <w:color w:val="202124"/>
                <w:szCs w:val="21"/>
              </w:rPr>
              <w:t>9010001064753</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rsidTr="007E048E">
        <w:trPr>
          <w:trHeight w:val="2408"/>
        </w:trPr>
        <w:tc>
          <w:tcPr>
            <w:tcW w:w="8636" w:type="dxa"/>
            <w:tcBorders>
              <w:bottom w:val="single" w:sz="4" w:space="0" w:color="auto"/>
            </w:tcBorders>
          </w:tcPr>
          <w:p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880486" w:rsidRPr="005F13F6"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D4313">
                    <w:rPr>
                      <w:rFonts w:ascii="ＭＳ 明朝" w:eastAsia="ＭＳ 明朝" w:hAnsi="ＭＳ 明朝" w:cs="ＭＳ 明朝" w:hint="eastAsia"/>
                      <w:spacing w:val="6"/>
                      <w:kern w:val="0"/>
                      <w:szCs w:val="21"/>
                    </w:rPr>
                    <w:t>2023</w:t>
                  </w:r>
                  <w:r w:rsidR="00880486">
                    <w:rPr>
                      <w:rFonts w:ascii="ＭＳ 明朝" w:eastAsia="ＭＳ 明朝" w:hAnsi="ＭＳ 明朝" w:cs="ＭＳ 明朝" w:hint="eastAsia"/>
                      <w:spacing w:val="6"/>
                      <w:kern w:val="0"/>
                      <w:szCs w:val="21"/>
                    </w:rPr>
                    <w:t xml:space="preserve">年　</w:t>
                  </w:r>
                  <w:r w:rsidR="000D4313">
                    <w:rPr>
                      <w:rFonts w:ascii="ＭＳ 明朝" w:eastAsia="ＭＳ 明朝" w:hAnsi="ＭＳ 明朝" w:cs="ＭＳ 明朝" w:hint="eastAsia"/>
                      <w:spacing w:val="6"/>
                      <w:kern w:val="0"/>
                      <w:szCs w:val="21"/>
                    </w:rPr>
                    <w:t>9</w:t>
                  </w:r>
                  <w:r w:rsidR="00880486">
                    <w:rPr>
                      <w:rFonts w:ascii="ＭＳ 明朝" w:eastAsia="ＭＳ 明朝" w:hAnsi="ＭＳ 明朝" w:cs="ＭＳ 明朝" w:hint="eastAsia"/>
                      <w:spacing w:val="6"/>
                      <w:kern w:val="0"/>
                      <w:szCs w:val="21"/>
                    </w:rPr>
                    <w:t xml:space="preserve">月　</w:t>
                  </w:r>
                  <w:r w:rsidR="000D4313">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r w:rsidR="000D4313">
                    <w:rPr>
                      <w:rFonts w:ascii="ＭＳ 明朝" w:eastAsia="ＭＳ 明朝" w:hAnsi="ＭＳ 明朝" w:cs="ＭＳ 明朝" w:hint="eastAsia"/>
                      <w:spacing w:val="6"/>
                      <w:kern w:val="0"/>
                      <w:szCs w:val="21"/>
                    </w:rPr>
                    <w:t>（更新）</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880486" w:rsidRPr="005F13F6"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880486" w:rsidRPr="00543D86" w:rsidRDefault="00880486" w:rsidP="0088048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43D86">
                    <w:rPr>
                      <w:rFonts w:ascii="ＭＳ 明朝" w:hAnsi="ＭＳ 明朝" w:cs="ＭＳ 明朝" w:hint="eastAsia"/>
                      <w:spacing w:val="6"/>
                      <w:kern w:val="0"/>
                      <w:szCs w:val="21"/>
                    </w:rPr>
                    <w:t>当社ホームページ上で公表</w:t>
                  </w:r>
                </w:p>
                <w:p w:rsidR="00D1302E" w:rsidRDefault="00AD294D" w:rsidP="00DD56DC">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8" w:history="1">
                    <w:r w:rsidR="00880486" w:rsidRPr="00746B01">
                      <w:rPr>
                        <w:rStyle w:val="af0"/>
                        <w:rFonts w:ascii="ＭＳ 明朝" w:eastAsia="ＭＳ 明朝" w:hAnsi="ＭＳ 明朝" w:cs="ＭＳ 明朝"/>
                        <w:spacing w:val="6"/>
                        <w:kern w:val="0"/>
                        <w:szCs w:val="21"/>
                      </w:rPr>
                      <w:t>https://www.nicho.co.jp/corporate/ir/management/dx/main/00/teaserItems1/00/linkList/0/link/NihonChouzai_DX.pdf</w:t>
                    </w:r>
                  </w:hyperlink>
                </w:p>
                <w:p w:rsidR="00880486" w:rsidRDefault="00880486" w:rsidP="00DD56DC">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p>
                <w:p w:rsidR="00880486" w:rsidRPr="00543D86" w:rsidRDefault="00880486" w:rsidP="0088048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43D86">
                    <w:rPr>
                      <w:rFonts w:ascii="ＭＳ 明朝" w:eastAsia="ＭＳ 明朝" w:hAnsi="ＭＳ 明朝" w:cs="ＭＳ 明朝" w:hint="eastAsia"/>
                      <w:spacing w:val="6"/>
                      <w:kern w:val="0"/>
                      <w:szCs w:val="21"/>
                    </w:rPr>
                    <w:t>記載箇所：日本調剤が目指す2030年の姿</w:t>
                  </w:r>
                  <w:r w:rsidRPr="00543D86">
                    <w:rPr>
                      <w:rFonts w:ascii="ＭＳ 明朝" w:hAnsi="ＭＳ 明朝" w:cs="ＭＳ 明朝" w:hint="eastAsia"/>
                      <w:spacing w:val="6"/>
                      <w:kern w:val="0"/>
                      <w:szCs w:val="21"/>
                    </w:rPr>
                    <w:t>（</w:t>
                  </w:r>
                  <w:r w:rsidRPr="00543D86">
                    <w:rPr>
                      <w:rFonts w:ascii="ＭＳ 明朝" w:hAnsi="ＭＳ 明朝" w:cs="ＭＳ 明朝" w:hint="eastAsia"/>
                      <w:spacing w:val="6"/>
                      <w:kern w:val="0"/>
                      <w:szCs w:val="21"/>
                    </w:rPr>
                    <w:t>p</w:t>
                  </w:r>
                  <w:r w:rsidRPr="00543D86">
                    <w:rPr>
                      <w:rFonts w:ascii="ＭＳ 明朝" w:hAnsi="ＭＳ 明朝" w:cs="ＭＳ 明朝"/>
                      <w:spacing w:val="6"/>
                      <w:kern w:val="0"/>
                      <w:szCs w:val="21"/>
                    </w:rPr>
                    <w:t>.2</w:t>
                  </w:r>
                  <w:r w:rsidRPr="00543D86">
                    <w:rPr>
                      <w:rFonts w:ascii="ＭＳ 明朝" w:hAnsi="ＭＳ 明朝" w:cs="ＭＳ 明朝" w:hint="eastAsia"/>
                      <w:spacing w:val="6"/>
                      <w:kern w:val="0"/>
                      <w:szCs w:val="21"/>
                    </w:rPr>
                    <w:t>）</w:t>
                  </w:r>
                </w:p>
                <w:p w:rsidR="00880486" w:rsidRPr="00880486"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543D86">
                    <w:rPr>
                      <w:rFonts w:ascii="ＭＳ 明朝" w:hAnsi="ＭＳ 明朝" w:cs="ＭＳ 明朝" w:hint="eastAsia"/>
                      <w:spacing w:val="6"/>
                      <w:kern w:val="0"/>
                      <w:szCs w:val="21"/>
                    </w:rPr>
                    <w:t xml:space="preserve">　　　　　取り巻く環境変化（</w:t>
                  </w:r>
                  <w:r w:rsidRPr="00543D86">
                    <w:rPr>
                      <w:rFonts w:ascii="ＭＳ 明朝" w:hAnsi="ＭＳ 明朝" w:cs="ＭＳ 明朝" w:hint="eastAsia"/>
                      <w:spacing w:val="6"/>
                      <w:kern w:val="0"/>
                      <w:szCs w:val="21"/>
                    </w:rPr>
                    <w:t>p</w:t>
                  </w:r>
                  <w:r w:rsidRPr="00543D86">
                    <w:rPr>
                      <w:rFonts w:ascii="ＭＳ 明朝" w:hAnsi="ＭＳ 明朝" w:cs="ＭＳ 明朝"/>
                      <w:spacing w:val="6"/>
                      <w:kern w:val="0"/>
                      <w:szCs w:val="21"/>
                    </w:rPr>
                    <w:t>.3</w:t>
                  </w:r>
                  <w:r w:rsidRPr="00543D86">
                    <w:rPr>
                      <w:rFonts w:ascii="ＭＳ 明朝" w:hAnsi="ＭＳ 明朝" w:cs="ＭＳ 明朝" w:hint="eastAsia"/>
                      <w:spacing w:val="6"/>
                      <w:kern w:val="0"/>
                      <w:szCs w:val="21"/>
                    </w:rPr>
                    <w:t>）</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880486" w:rsidRPr="00880486" w:rsidRDefault="00880486" w:rsidP="0088048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olor w:val="000000"/>
                    </w:rPr>
                  </w:pPr>
                  <w:r w:rsidRPr="00880486">
                    <w:rPr>
                      <w:rFonts w:ascii="ＭＳ 明朝" w:hAnsi="ＭＳ 明朝" w:hint="eastAsia"/>
                      <w:color w:val="000000"/>
                    </w:rPr>
                    <w:t>デジタル技術が社会や自社の競争環境に及ぼす影響</w:t>
                  </w:r>
                </w:p>
                <w:p w:rsidR="00880486" w:rsidRDefault="00880486" w:rsidP="00880486">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超高齢</w:t>
                  </w:r>
                  <w:r w:rsidRPr="0031062C">
                    <w:rPr>
                      <w:rFonts w:ascii="ＭＳ 明朝" w:hAnsi="ＭＳ 明朝" w:cs="ＭＳ 明朝" w:hint="eastAsia"/>
                      <w:spacing w:val="6"/>
                      <w:kern w:val="0"/>
                      <w:szCs w:val="21"/>
                    </w:rPr>
                    <w:t>社会・人口減少トレンドを迎えつつ</w:t>
                  </w:r>
                  <w:r>
                    <w:rPr>
                      <w:rFonts w:ascii="ＭＳ 明朝" w:hAnsi="ＭＳ 明朝" w:cs="ＭＳ 明朝" w:hint="eastAsia"/>
                      <w:spacing w:val="6"/>
                      <w:kern w:val="0"/>
                      <w:szCs w:val="21"/>
                    </w:rPr>
                    <w:t>ある</w:t>
                  </w:r>
                  <w:r w:rsidRPr="0031062C">
                    <w:rPr>
                      <w:rFonts w:ascii="ＭＳ 明朝" w:hAnsi="ＭＳ 明朝" w:cs="ＭＳ 明朝" w:hint="eastAsia"/>
                      <w:spacing w:val="6"/>
                      <w:kern w:val="0"/>
                      <w:szCs w:val="21"/>
                    </w:rPr>
                    <w:t>我が国では、社会保障費抑制の動きや労働者の人手不足の影響を受け、医療を取り巻く環境が大きく変わりつつあります。</w:t>
                  </w:r>
                </w:p>
                <w:p w:rsidR="00880486" w:rsidRDefault="00880486" w:rsidP="00880486">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2E3781">
                    <w:rPr>
                      <w:rFonts w:ascii="ＭＳ 明朝" w:hAnsi="ＭＳ 明朝" w:cs="ＭＳ 明朝" w:hint="eastAsia"/>
                      <w:spacing w:val="6"/>
                      <w:kern w:val="0"/>
                      <w:szCs w:val="21"/>
                    </w:rPr>
                    <w:t>＜主な環境変化＞</w:t>
                  </w:r>
                </w:p>
                <w:p w:rsidR="00880486" w:rsidRDefault="00880486" w:rsidP="0088048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社会の要請（かかりつけ薬剤師・薬局への役割期待</w:t>
                  </w:r>
                  <w:r w:rsidRPr="002E3781">
                    <w:rPr>
                      <w:rFonts w:ascii="ＭＳ 明朝" w:hAnsi="ＭＳ 明朝" w:cs="ＭＳ 明朝" w:hint="eastAsia"/>
                      <w:spacing w:val="6"/>
                      <w:kern w:val="0"/>
                      <w:szCs w:val="21"/>
                    </w:rPr>
                    <w:t>、薬局の機能分化（地域連携</w:t>
                  </w:r>
                  <w:r>
                    <w:rPr>
                      <w:rFonts w:ascii="ＭＳ 明朝" w:hAnsi="ＭＳ 明朝" w:cs="ＭＳ 明朝" w:hint="eastAsia"/>
                      <w:spacing w:val="6"/>
                      <w:kern w:val="0"/>
                      <w:szCs w:val="21"/>
                    </w:rPr>
                    <w:t>薬局</w:t>
                  </w:r>
                  <w:r w:rsidRPr="002E3781">
                    <w:rPr>
                      <w:rFonts w:ascii="ＭＳ 明朝" w:hAnsi="ＭＳ 明朝" w:cs="ＭＳ 明朝" w:hint="eastAsia"/>
                      <w:spacing w:val="6"/>
                      <w:kern w:val="0"/>
                      <w:szCs w:val="21"/>
                    </w:rPr>
                    <w:t>/専門医療機関連</w:t>
                  </w:r>
                  <w:r>
                    <w:rPr>
                      <w:rFonts w:ascii="ＭＳ 明朝" w:hAnsi="ＭＳ 明朝" w:cs="ＭＳ 明朝" w:hint="eastAsia"/>
                      <w:spacing w:val="6"/>
                      <w:kern w:val="0"/>
                      <w:szCs w:val="21"/>
                    </w:rPr>
                    <w:t>携薬局</w:t>
                  </w:r>
                  <w:r w:rsidRPr="002E3781">
                    <w:rPr>
                      <w:rFonts w:ascii="ＭＳ 明朝" w:hAnsi="ＭＳ 明朝" w:cs="ＭＳ 明朝" w:hint="eastAsia"/>
                      <w:spacing w:val="6"/>
                      <w:kern w:val="0"/>
                      <w:szCs w:val="21"/>
                    </w:rPr>
                    <w:t>）、ジェネリック医薬品の使用促進</w:t>
                  </w:r>
                  <w:r>
                    <w:rPr>
                      <w:rFonts w:ascii="ＭＳ 明朝" w:hAnsi="ＭＳ 明朝" w:cs="ＭＳ 明朝" w:hint="eastAsia"/>
                      <w:spacing w:val="6"/>
                      <w:kern w:val="0"/>
                      <w:szCs w:val="21"/>
                    </w:rPr>
                    <w:t>、超高齢社会や人口減少社会への対応</w:t>
                  </w:r>
                  <w:r w:rsidRPr="002E3781">
                    <w:rPr>
                      <w:rFonts w:ascii="ＭＳ 明朝" w:hAnsi="ＭＳ 明朝" w:cs="ＭＳ 明朝" w:hint="eastAsia"/>
                      <w:spacing w:val="6"/>
                      <w:kern w:val="0"/>
                      <w:szCs w:val="21"/>
                    </w:rPr>
                    <w:t>）</w:t>
                  </w:r>
                </w:p>
                <w:p w:rsidR="00880486" w:rsidRDefault="00880486" w:rsidP="0088048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3781">
                    <w:rPr>
                      <w:rFonts w:ascii="ＭＳ 明朝" w:hAnsi="ＭＳ 明朝" w:cs="ＭＳ 明朝" w:hint="eastAsia"/>
                      <w:spacing w:val="6"/>
                      <w:kern w:val="0"/>
                      <w:szCs w:val="21"/>
                    </w:rPr>
                    <w:t>業界再編（調剤薬局の再編、ジェネリック医薬品メーカーの再編）</w:t>
                  </w:r>
                </w:p>
                <w:p w:rsidR="00880486" w:rsidRDefault="00880486" w:rsidP="0088048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3781">
                    <w:rPr>
                      <w:rFonts w:ascii="ＭＳ 明朝" w:hAnsi="ＭＳ 明朝" w:cs="ＭＳ 明朝" w:hint="eastAsia"/>
                      <w:spacing w:val="6"/>
                      <w:kern w:val="0"/>
                      <w:szCs w:val="21"/>
                    </w:rPr>
                    <w:t>医療のICT</w:t>
                  </w:r>
                  <w:r>
                    <w:rPr>
                      <w:rFonts w:ascii="ＭＳ 明朝" w:hAnsi="ＭＳ 明朝" w:cs="ＭＳ 明朝" w:hint="eastAsia"/>
                      <w:spacing w:val="6"/>
                      <w:kern w:val="0"/>
                      <w:szCs w:val="21"/>
                    </w:rPr>
                    <w:t>化（電子お薬手帳の普及、オンライン服薬指導の普及</w:t>
                  </w:r>
                  <w:r w:rsidRPr="002E3781">
                    <w:rPr>
                      <w:rFonts w:ascii="ＭＳ 明朝" w:hAnsi="ＭＳ 明朝" w:cs="ＭＳ 明朝" w:hint="eastAsia"/>
                      <w:spacing w:val="6"/>
                      <w:kern w:val="0"/>
                      <w:szCs w:val="21"/>
                    </w:rPr>
                    <w:t>、医療情報の</w:t>
                  </w:r>
                  <w:r>
                    <w:rPr>
                      <w:rFonts w:ascii="ＭＳ 明朝" w:hAnsi="ＭＳ 明朝" w:cs="ＭＳ 明朝" w:hint="eastAsia"/>
                      <w:spacing w:val="6"/>
                      <w:kern w:val="0"/>
                      <w:szCs w:val="21"/>
                    </w:rPr>
                    <w:t>デジタル化、電子</w:t>
                  </w:r>
                  <w:r>
                    <w:rPr>
                      <w:rFonts w:ascii="ＭＳ 明朝" w:hAnsi="ＭＳ 明朝" w:cs="ＭＳ 明朝" w:hint="eastAsia"/>
                      <w:spacing w:val="6"/>
                      <w:kern w:val="0"/>
                      <w:szCs w:val="21"/>
                    </w:rPr>
                    <w:lastRenderedPageBreak/>
                    <w:t>処方箋</w:t>
                  </w:r>
                  <w:r w:rsidR="005B734F">
                    <w:rPr>
                      <w:rFonts w:ascii="ＭＳ 明朝" w:hAnsi="ＭＳ 明朝" w:cs="ＭＳ 明朝" w:hint="eastAsia"/>
                      <w:spacing w:val="6"/>
                      <w:kern w:val="0"/>
                      <w:szCs w:val="21"/>
                    </w:rPr>
                    <w:t>の普及</w:t>
                  </w:r>
                  <w:r w:rsidRPr="002E3781">
                    <w:rPr>
                      <w:rFonts w:ascii="ＭＳ 明朝" w:hAnsi="ＭＳ 明朝" w:cs="ＭＳ 明朝" w:hint="eastAsia"/>
                      <w:spacing w:val="6"/>
                      <w:kern w:val="0"/>
                      <w:szCs w:val="21"/>
                    </w:rPr>
                    <w:t>）</w:t>
                  </w:r>
                </w:p>
                <w:p w:rsidR="00880486" w:rsidRDefault="00880486" w:rsidP="0088048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3781">
                    <w:rPr>
                      <w:rFonts w:ascii="ＭＳ 明朝" w:hAnsi="ＭＳ 明朝" w:cs="ＭＳ 明朝" w:hint="eastAsia"/>
                      <w:spacing w:val="6"/>
                      <w:kern w:val="0"/>
                      <w:szCs w:val="21"/>
                    </w:rPr>
                    <w:t>政府施策（薬機法改正、調剤報酬改定、</w:t>
                  </w:r>
                  <w:r w:rsidR="005B734F">
                    <w:rPr>
                      <w:rFonts w:ascii="ＭＳ 明朝" w:hAnsi="ＭＳ 明朝" w:cs="ＭＳ 明朝" w:hint="eastAsia"/>
                      <w:spacing w:val="6"/>
                      <w:kern w:val="0"/>
                      <w:szCs w:val="21"/>
                    </w:rPr>
                    <w:t>介護報酬改定、</w:t>
                  </w:r>
                  <w:r w:rsidRPr="002E3781">
                    <w:rPr>
                      <w:rFonts w:ascii="ＭＳ 明朝" w:hAnsi="ＭＳ 明朝" w:cs="ＭＳ 明朝" w:hint="eastAsia"/>
                      <w:spacing w:val="6"/>
                      <w:kern w:val="0"/>
                      <w:szCs w:val="21"/>
                    </w:rPr>
                    <w:t>薬価改定、働き方改革）</w:t>
                  </w:r>
                </w:p>
                <w:p w:rsidR="00880486" w:rsidRPr="002E3781" w:rsidRDefault="00880486" w:rsidP="0088048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3781">
                    <w:rPr>
                      <w:rFonts w:ascii="ＭＳ 明朝" w:hAnsi="ＭＳ 明朝" w:cs="ＭＳ 明朝" w:hint="eastAsia"/>
                      <w:spacing w:val="6"/>
                      <w:kern w:val="0"/>
                      <w:szCs w:val="21"/>
                    </w:rPr>
                    <w:t>長期ビジョン</w:t>
                  </w:r>
                </w:p>
                <w:p w:rsidR="00880486" w:rsidRDefault="00880486" w:rsidP="00880486">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31062C">
                    <w:rPr>
                      <w:rFonts w:ascii="ＭＳ 明朝" w:hAnsi="ＭＳ 明朝" w:cs="ＭＳ 明朝" w:hint="eastAsia"/>
                      <w:spacing w:val="6"/>
                      <w:kern w:val="0"/>
                      <w:szCs w:val="21"/>
                    </w:rPr>
                    <w:t>当社は、大きな環境変化を乗り越え、さらなる飛躍を可能とする強固な企業基盤を構築します。また、「調剤薬局事業」「医薬品製造販売事業」「医療従事者派遣・紹介事業」の3事業のシナジーを最大限発揮し、業容</w:t>
                  </w:r>
                  <w:r>
                    <w:rPr>
                      <w:rFonts w:ascii="ＭＳ 明朝" w:hAnsi="ＭＳ 明朝" w:cs="ＭＳ 明朝" w:hint="eastAsia"/>
                      <w:spacing w:val="6"/>
                      <w:kern w:val="0"/>
                      <w:szCs w:val="21"/>
                    </w:rPr>
                    <w:t>を</w:t>
                  </w:r>
                  <w:r w:rsidRPr="0031062C">
                    <w:rPr>
                      <w:rFonts w:ascii="ＭＳ 明朝" w:hAnsi="ＭＳ 明朝" w:cs="ＭＳ 明朝" w:hint="eastAsia"/>
                      <w:spacing w:val="6"/>
                      <w:kern w:val="0"/>
                      <w:szCs w:val="21"/>
                    </w:rPr>
                    <w:t>拡大します。</w:t>
                  </w:r>
                </w:p>
                <w:p w:rsidR="00880486" w:rsidRDefault="00880486" w:rsidP="0088048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24FD7">
                    <w:rPr>
                      <w:rFonts w:ascii="ＭＳ 明朝" w:hAnsi="ＭＳ 明朝" w:cs="ＭＳ 明朝" w:hint="eastAsia"/>
                      <w:spacing w:val="6"/>
                      <w:kern w:val="0"/>
                      <w:szCs w:val="21"/>
                    </w:rPr>
                    <w:t>ビジョンを実現するためのビジネスモデルの方向</w:t>
                  </w:r>
                </w:p>
                <w:p w:rsidR="00D1302E" w:rsidRPr="00DD56DC" w:rsidRDefault="008804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062C">
                    <w:rPr>
                      <w:rFonts w:ascii="ＭＳ 明朝" w:hAnsi="ＭＳ 明朝" w:cs="ＭＳ 明朝" w:hint="eastAsia"/>
                      <w:spacing w:val="6"/>
                      <w:kern w:val="0"/>
                      <w:szCs w:val="21"/>
                    </w:rPr>
                    <w:t>デジタルトランスフォーメーションとサステナビリティを経営戦略へ取り込むことにより、ビジネスモデルを進化させ、持続的な成長を実現します。</w:t>
                  </w: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880486" w:rsidRPr="005F13F6"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本資料は、全社戦略に基づき推進しているデジタルトランスフォーメーション戦略を各ステークホルダーに向けて対外的に公表する資料であり、</w:t>
                  </w:r>
                  <w:r w:rsidR="00633711">
                    <w:rPr>
                      <w:rFonts w:ascii="ＭＳ 明朝" w:eastAsia="ＭＳ 明朝" w:hAnsi="ＭＳ 明朝" w:cs="ＭＳ 明朝"/>
                      <w:spacing w:val="6"/>
                      <w:kern w:val="0"/>
                      <w:szCs w:val="21"/>
                    </w:rPr>
                    <w:t>202</w:t>
                  </w:r>
                  <w:r w:rsidR="00633711">
                    <w:rPr>
                      <w:rFonts w:ascii="ＭＳ 明朝" w:eastAsia="ＭＳ 明朝" w:hAnsi="ＭＳ 明朝" w:cs="ＭＳ 明朝" w:hint="eastAsia"/>
                      <w:spacing w:val="6"/>
                      <w:kern w:val="0"/>
                      <w:szCs w:val="21"/>
                    </w:rPr>
                    <w:t>3</w:t>
                  </w:r>
                  <w:r w:rsidRPr="005F13F6">
                    <w:rPr>
                      <w:rFonts w:ascii="ＭＳ 明朝" w:eastAsia="ＭＳ 明朝" w:hAnsi="ＭＳ 明朝" w:cs="ＭＳ 明朝"/>
                      <w:spacing w:val="6"/>
                      <w:kern w:val="0"/>
                      <w:szCs w:val="21"/>
                    </w:rPr>
                    <w:t>年</w:t>
                  </w:r>
                  <w:r w:rsidR="00633711">
                    <w:rPr>
                      <w:rFonts w:ascii="ＭＳ 明朝" w:eastAsia="ＭＳ 明朝" w:hAnsi="ＭＳ 明朝" w:cs="ＭＳ 明朝" w:hint="eastAsia"/>
                      <w:spacing w:val="6"/>
                      <w:kern w:val="0"/>
                      <w:szCs w:val="21"/>
                    </w:rPr>
                    <w:t>9</w:t>
                  </w:r>
                  <w:r w:rsidRPr="005F13F6">
                    <w:rPr>
                      <w:rFonts w:ascii="ＭＳ 明朝" w:eastAsia="ＭＳ 明朝" w:hAnsi="ＭＳ 明朝" w:cs="ＭＳ 明朝"/>
                      <w:spacing w:val="6"/>
                      <w:kern w:val="0"/>
                      <w:szCs w:val="21"/>
                    </w:rPr>
                    <w:t>月</w:t>
                  </w:r>
                  <w:r w:rsidR="00633711">
                    <w:rPr>
                      <w:rFonts w:ascii="ＭＳ 明朝" w:eastAsia="ＭＳ 明朝" w:hAnsi="ＭＳ 明朝" w:cs="ＭＳ 明朝" w:hint="eastAsia"/>
                      <w:spacing w:val="6"/>
                      <w:kern w:val="0"/>
                      <w:szCs w:val="21"/>
                    </w:rPr>
                    <w:t>19</w:t>
                  </w:r>
                  <w:r w:rsidRPr="005F13F6">
                    <w:rPr>
                      <w:rFonts w:ascii="ＭＳ 明朝" w:eastAsia="ＭＳ 明朝" w:hAnsi="ＭＳ 明朝" w:cs="ＭＳ 明朝"/>
                      <w:spacing w:val="6"/>
                      <w:kern w:val="0"/>
                      <w:szCs w:val="21"/>
                    </w:rPr>
                    <w:t>日開催の取締役会にて承認を受けたもの。</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880486" w:rsidRPr="005F13F6" w:rsidRDefault="00880486" w:rsidP="0088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33711">
                    <w:rPr>
                      <w:rFonts w:ascii="ＭＳ 明朝" w:eastAsia="ＭＳ 明朝" w:hAnsi="ＭＳ 明朝" w:cs="ＭＳ 明朝" w:hint="eastAsia"/>
                      <w:spacing w:val="6"/>
                      <w:kern w:val="0"/>
                      <w:szCs w:val="21"/>
                    </w:rPr>
                    <w:t>2023</w:t>
                  </w:r>
                  <w:r w:rsidR="00880486">
                    <w:rPr>
                      <w:rFonts w:ascii="ＭＳ 明朝" w:eastAsia="ＭＳ 明朝" w:hAnsi="ＭＳ 明朝" w:cs="ＭＳ 明朝" w:hint="eastAsia"/>
                      <w:spacing w:val="6"/>
                      <w:kern w:val="0"/>
                      <w:szCs w:val="21"/>
                    </w:rPr>
                    <w:t xml:space="preserve">年　</w:t>
                  </w:r>
                  <w:r w:rsidR="00633711">
                    <w:rPr>
                      <w:rFonts w:ascii="ＭＳ 明朝" w:eastAsia="ＭＳ 明朝" w:hAnsi="ＭＳ 明朝" w:cs="ＭＳ 明朝" w:hint="eastAsia"/>
                      <w:spacing w:val="6"/>
                      <w:kern w:val="0"/>
                      <w:szCs w:val="21"/>
                    </w:rPr>
                    <w:t>9</w:t>
                  </w:r>
                  <w:r w:rsidR="00880486">
                    <w:rPr>
                      <w:rFonts w:ascii="ＭＳ 明朝" w:eastAsia="ＭＳ 明朝" w:hAnsi="ＭＳ 明朝" w:cs="ＭＳ 明朝" w:hint="eastAsia"/>
                      <w:spacing w:val="6"/>
                      <w:kern w:val="0"/>
                      <w:szCs w:val="21"/>
                    </w:rPr>
                    <w:t xml:space="preserve">月　</w:t>
                  </w:r>
                  <w:r w:rsidR="00633711">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r w:rsidR="00633711">
                    <w:rPr>
                      <w:rFonts w:ascii="ＭＳ 明朝" w:eastAsia="ＭＳ 明朝" w:hAnsi="ＭＳ 明朝" w:cs="ＭＳ 明朝" w:hint="eastAsia"/>
                      <w:spacing w:val="6"/>
                      <w:kern w:val="0"/>
                      <w:szCs w:val="21"/>
                    </w:rPr>
                    <w:t>（更新）</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256730" w:rsidRPr="005F13F6" w:rsidRDefault="00256730"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256730" w:rsidRPr="00694B0D" w:rsidRDefault="00256730"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4B0D">
                    <w:rPr>
                      <w:rFonts w:ascii="ＭＳ 明朝" w:eastAsia="ＭＳ 明朝" w:hAnsi="ＭＳ 明朝" w:cs="ＭＳ 明朝" w:hint="eastAsia"/>
                      <w:spacing w:val="6"/>
                      <w:kern w:val="0"/>
                      <w:szCs w:val="21"/>
                    </w:rPr>
                    <w:t>当社ホームページにて公表</w:t>
                  </w:r>
                </w:p>
                <w:p w:rsidR="00256730" w:rsidRDefault="00AD294D"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56730" w:rsidRPr="00746B01">
                      <w:rPr>
                        <w:rStyle w:val="af0"/>
                        <w:rFonts w:ascii="ＭＳ 明朝" w:eastAsia="ＭＳ 明朝" w:hAnsi="ＭＳ 明朝" w:cs="ＭＳ 明朝"/>
                        <w:spacing w:val="6"/>
                        <w:kern w:val="0"/>
                        <w:szCs w:val="21"/>
                      </w:rPr>
                      <w:t>https://www.nicho.co.jp/corporate/ir/management/dx/main/00/teaserItems1/00/linkList/0/link/NihonChouzai_DX.pdf</w:t>
                    </w:r>
                  </w:hyperlink>
                </w:p>
                <w:p w:rsidR="00256730" w:rsidRPr="00FB2F29" w:rsidRDefault="00256730"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256730" w:rsidRPr="00694B0D" w:rsidRDefault="00256730" w:rsidP="00256730">
                  <w:pPr>
                    <w:suppressAutoHyphens/>
                    <w:kinsoku w:val="0"/>
                    <w:overflowPunct w:val="0"/>
                    <w:adjustRightInd w:val="0"/>
                    <w:spacing w:afterLines="50" w:after="120" w:line="238" w:lineRule="exact"/>
                    <w:ind w:left="1110" w:hangingChars="500" w:hanging="1110"/>
                    <w:jc w:val="left"/>
                    <w:textAlignment w:val="center"/>
                    <w:rPr>
                      <w:rFonts w:ascii="ＭＳ 明朝" w:hAnsi="ＭＳ 明朝" w:cs="ＭＳ 明朝"/>
                      <w:spacing w:val="6"/>
                      <w:kern w:val="0"/>
                      <w:szCs w:val="21"/>
                    </w:rPr>
                  </w:pPr>
                  <w:r w:rsidRPr="00694B0D">
                    <w:rPr>
                      <w:rFonts w:ascii="ＭＳ 明朝" w:eastAsia="ＭＳ 明朝" w:hAnsi="ＭＳ 明朝" w:cs="ＭＳ 明朝" w:hint="eastAsia"/>
                      <w:spacing w:val="6"/>
                      <w:kern w:val="0"/>
                      <w:szCs w:val="21"/>
                    </w:rPr>
                    <w:t>記載箇所：日本調剤が目指す2030年の姿</w:t>
                  </w:r>
                  <w:r w:rsidRPr="00694B0D">
                    <w:rPr>
                      <w:rFonts w:ascii="ＭＳ 明朝" w:hAnsi="ＭＳ 明朝" w:cs="ＭＳ 明朝" w:hint="eastAsia"/>
                      <w:spacing w:val="6"/>
                      <w:kern w:val="0"/>
                      <w:szCs w:val="21"/>
                    </w:rPr>
                    <w:t>（</w:t>
                  </w:r>
                  <w:r w:rsidRPr="00694B0D">
                    <w:rPr>
                      <w:rFonts w:ascii="ＭＳ 明朝" w:hAnsi="ＭＳ 明朝" w:cs="ＭＳ 明朝" w:hint="eastAsia"/>
                      <w:spacing w:val="6"/>
                      <w:kern w:val="0"/>
                      <w:szCs w:val="21"/>
                    </w:rPr>
                    <w:t>p</w:t>
                  </w:r>
                  <w:r w:rsidRPr="00694B0D">
                    <w:rPr>
                      <w:rFonts w:ascii="ＭＳ 明朝" w:hAnsi="ＭＳ 明朝" w:cs="ＭＳ 明朝"/>
                      <w:spacing w:val="6"/>
                      <w:kern w:val="0"/>
                      <w:szCs w:val="21"/>
                    </w:rPr>
                    <w:t>.2</w:t>
                  </w:r>
                  <w:r w:rsidRPr="00694B0D">
                    <w:rPr>
                      <w:rFonts w:ascii="ＭＳ 明朝" w:hAnsi="ＭＳ 明朝" w:cs="ＭＳ 明朝" w:hint="eastAsia"/>
                      <w:spacing w:val="6"/>
                      <w:kern w:val="0"/>
                      <w:szCs w:val="21"/>
                    </w:rPr>
                    <w:t xml:space="preserve">）　　</w:t>
                  </w:r>
                </w:p>
                <w:p w:rsidR="00256730" w:rsidRPr="00694B0D" w:rsidRDefault="00256730" w:rsidP="00085262">
                  <w:pPr>
                    <w:suppressAutoHyphens/>
                    <w:kinsoku w:val="0"/>
                    <w:overflowPunct w:val="0"/>
                    <w:adjustRightInd w:val="0"/>
                    <w:spacing w:afterLines="50" w:after="120" w:line="238" w:lineRule="exact"/>
                    <w:ind w:leftChars="507" w:left="1085" w:firstLine="2"/>
                    <w:jc w:val="left"/>
                    <w:textAlignment w:val="center"/>
                    <w:rPr>
                      <w:rFonts w:ascii="ＭＳ 明朝" w:eastAsia="ＭＳ 明朝" w:hAnsi="ＭＳ 明朝" w:cs="ＭＳ 明朝"/>
                      <w:spacing w:val="6"/>
                      <w:kern w:val="0"/>
                      <w:szCs w:val="21"/>
                    </w:rPr>
                  </w:pPr>
                  <w:r w:rsidRPr="00694B0D">
                    <w:rPr>
                      <w:rFonts w:ascii="ＭＳ 明朝" w:hAnsi="ＭＳ 明朝" w:cs="ＭＳ 明朝" w:hint="eastAsia"/>
                      <w:spacing w:val="6"/>
                      <w:kern w:val="0"/>
                      <w:szCs w:val="21"/>
                    </w:rPr>
                    <w:t>DX</w:t>
                  </w:r>
                  <w:r w:rsidRPr="00694B0D">
                    <w:rPr>
                      <w:rFonts w:ascii="ＭＳ 明朝" w:hAnsi="ＭＳ 明朝" w:cs="ＭＳ 明朝" w:hint="eastAsia"/>
                      <w:spacing w:val="6"/>
                      <w:kern w:val="0"/>
                      <w:szCs w:val="21"/>
                    </w:rPr>
                    <w:t>実現による価値提供</w:t>
                  </w:r>
                  <w:r w:rsidRPr="00694B0D">
                    <w:rPr>
                      <w:rFonts w:ascii="ＭＳ 明朝" w:eastAsia="ＭＳ 明朝" w:hAnsi="ＭＳ 明朝" w:cs="ＭＳ 明朝" w:hint="eastAsia"/>
                      <w:spacing w:val="6"/>
                      <w:kern w:val="0"/>
                      <w:szCs w:val="21"/>
                    </w:rPr>
                    <w:t>（p</w:t>
                  </w:r>
                  <w:r w:rsidRPr="00694B0D">
                    <w:rPr>
                      <w:rFonts w:ascii="ＭＳ 明朝" w:eastAsia="ＭＳ 明朝" w:hAnsi="ＭＳ 明朝" w:cs="ＭＳ 明朝"/>
                      <w:spacing w:val="6"/>
                      <w:kern w:val="0"/>
                      <w:szCs w:val="21"/>
                    </w:rPr>
                    <w:t>.4</w:t>
                  </w:r>
                  <w:r w:rsidRPr="00694B0D">
                    <w:rPr>
                      <w:rFonts w:ascii="ＭＳ 明朝" w:eastAsia="ＭＳ 明朝" w:hAnsi="ＭＳ 明朝" w:cs="ＭＳ 明朝" w:hint="eastAsia"/>
                      <w:spacing w:val="6"/>
                      <w:kern w:val="0"/>
                      <w:szCs w:val="21"/>
                    </w:rPr>
                    <w:t>）</w:t>
                  </w:r>
                </w:p>
                <w:p w:rsidR="00D1302E" w:rsidRDefault="00256730" w:rsidP="00085262">
                  <w:pPr>
                    <w:suppressAutoHyphens/>
                    <w:kinsoku w:val="0"/>
                    <w:overflowPunct w:val="0"/>
                    <w:adjustRightInd w:val="0"/>
                    <w:spacing w:afterLines="50" w:after="120" w:line="238" w:lineRule="exact"/>
                    <w:ind w:leftChars="507" w:left="1085"/>
                    <w:jc w:val="left"/>
                    <w:textAlignment w:val="center"/>
                    <w:rPr>
                      <w:rFonts w:ascii="ＭＳ 明朝" w:eastAsia="ＭＳ 明朝" w:hAnsi="ＭＳ 明朝" w:cs="ＭＳ 明朝"/>
                      <w:spacing w:val="6"/>
                      <w:kern w:val="0"/>
                      <w:szCs w:val="21"/>
                    </w:rPr>
                  </w:pPr>
                  <w:r w:rsidRPr="00694B0D">
                    <w:rPr>
                      <w:rFonts w:ascii="ＭＳ 明朝" w:eastAsia="ＭＳ 明朝" w:hAnsi="ＭＳ 明朝" w:cs="ＭＳ 明朝" w:hint="eastAsia"/>
                      <w:spacing w:val="6"/>
                      <w:kern w:val="0"/>
                      <w:szCs w:val="21"/>
                    </w:rPr>
                    <w:t>医療版DX（</w:t>
                  </w:r>
                  <w:r w:rsidRPr="00694B0D">
                    <w:rPr>
                      <w:rFonts w:ascii="ＭＳ 明朝" w:eastAsia="ＭＳ 明朝" w:hAnsi="ＭＳ 明朝" w:cs="ＭＳ 明朝"/>
                      <w:spacing w:val="6"/>
                      <w:kern w:val="0"/>
                      <w:szCs w:val="21"/>
                    </w:rPr>
                    <w:t>p.5</w:t>
                  </w:r>
                  <w:r w:rsidRPr="00694B0D">
                    <w:rPr>
                      <w:rFonts w:ascii="ＭＳ 明朝" w:eastAsia="ＭＳ 明朝" w:hAnsi="ＭＳ 明朝" w:cs="ＭＳ 明朝" w:hint="eastAsia"/>
                      <w:spacing w:val="6"/>
                      <w:kern w:val="0"/>
                      <w:szCs w:val="21"/>
                    </w:rPr>
                    <w:t>）</w:t>
                  </w:r>
                </w:p>
                <w:p w:rsidR="00085262" w:rsidRDefault="00085262" w:rsidP="00085262">
                  <w:pPr>
                    <w:suppressAutoHyphens/>
                    <w:kinsoku w:val="0"/>
                    <w:overflowPunct w:val="0"/>
                    <w:adjustRightInd w:val="0"/>
                    <w:spacing w:afterLines="50" w:after="120" w:line="238" w:lineRule="exact"/>
                    <w:ind w:leftChars="507" w:left="1085"/>
                    <w:jc w:val="left"/>
                    <w:textAlignment w:val="center"/>
                    <w:rPr>
                      <w:rFonts w:ascii="ＭＳ 明朝" w:eastAsia="ＭＳ 明朝" w:hAnsi="ＭＳ 明朝" w:cs="ＭＳ 明朝"/>
                      <w:spacing w:val="6"/>
                      <w:kern w:val="0"/>
                      <w:szCs w:val="21"/>
                    </w:rPr>
                  </w:pPr>
                  <w:r w:rsidRPr="00085262">
                    <w:rPr>
                      <w:rFonts w:ascii="ＭＳ 明朝" w:eastAsia="ＭＳ 明朝" w:hAnsi="ＭＳ 明朝" w:cs="ＭＳ 明朝" w:hint="eastAsia"/>
                      <w:spacing w:val="6"/>
                      <w:kern w:val="0"/>
                      <w:szCs w:val="21"/>
                    </w:rPr>
                    <w:t>DX戦略に沿った施策（新規ビジネスの創出）（p.8）</w:t>
                  </w:r>
                </w:p>
                <w:p w:rsidR="00085262" w:rsidRPr="00DD56DC" w:rsidRDefault="00085262" w:rsidP="00085262">
                  <w:pPr>
                    <w:suppressAutoHyphens/>
                    <w:kinsoku w:val="0"/>
                    <w:overflowPunct w:val="0"/>
                    <w:adjustRightInd w:val="0"/>
                    <w:spacing w:afterLines="50" w:after="120" w:line="238" w:lineRule="exact"/>
                    <w:ind w:leftChars="507" w:left="1085"/>
                    <w:jc w:val="left"/>
                    <w:textAlignment w:val="center"/>
                    <w:rPr>
                      <w:rFonts w:ascii="ＭＳ 明朝" w:eastAsia="ＭＳ 明朝" w:hAnsi="ＭＳ 明朝" w:cs="ＭＳ 明朝"/>
                      <w:spacing w:val="6"/>
                      <w:kern w:val="0"/>
                      <w:szCs w:val="21"/>
                    </w:rPr>
                  </w:pPr>
                  <w:r w:rsidRPr="00085262">
                    <w:rPr>
                      <w:rFonts w:ascii="ＭＳ 明朝" w:eastAsia="ＭＳ 明朝" w:hAnsi="ＭＳ 明朝" w:cs="ＭＳ 明朝" w:hint="eastAsia"/>
                      <w:spacing w:val="6"/>
                      <w:kern w:val="0"/>
                      <w:szCs w:val="21"/>
                    </w:rPr>
                    <w:t>DX戦略に沿った施策（業務プロセスの変革）（p.9）</w:t>
                  </w:r>
                </w:p>
              </w:tc>
            </w:tr>
            <w:tr w:rsidR="00D1302E" w:rsidRPr="00DD56DC" w:rsidTr="00DD56DC">
              <w:trPr>
                <w:trHeight w:val="353"/>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256730" w:rsidRDefault="00256730" w:rsidP="0025673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DX戦略の取組方針</w:t>
                  </w:r>
                </w:p>
                <w:p w:rsidR="00256730" w:rsidRDefault="00256730" w:rsidP="0025673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F17ABF">
                    <w:rPr>
                      <w:rFonts w:ascii="ＭＳ 明朝" w:hAnsi="ＭＳ 明朝" w:cs="ＭＳ 明朝" w:hint="eastAsia"/>
                      <w:spacing w:val="6"/>
                      <w:kern w:val="0"/>
                      <w:szCs w:val="21"/>
                    </w:rPr>
                    <w:t>質の高い</w:t>
                  </w:r>
                  <w:r>
                    <w:rPr>
                      <w:rFonts w:ascii="ＭＳ 明朝" w:hAnsi="ＭＳ 明朝" w:cs="ＭＳ 明朝" w:hint="eastAsia"/>
                      <w:spacing w:val="6"/>
                      <w:kern w:val="0"/>
                      <w:szCs w:val="21"/>
                    </w:rPr>
                    <w:t>「</w:t>
                  </w:r>
                  <w:r w:rsidRPr="00F17ABF">
                    <w:rPr>
                      <w:rFonts w:ascii="ＭＳ 明朝" w:hAnsi="ＭＳ 明朝" w:cs="ＭＳ 明朝" w:hint="eastAsia"/>
                      <w:spacing w:val="6"/>
                      <w:kern w:val="0"/>
                      <w:szCs w:val="21"/>
                    </w:rPr>
                    <w:t>人材</w:t>
                  </w:r>
                  <w:r>
                    <w:rPr>
                      <w:rFonts w:ascii="ＭＳ 明朝" w:hAnsi="ＭＳ 明朝" w:cs="ＭＳ 明朝" w:hint="eastAsia"/>
                      <w:spacing w:val="6"/>
                      <w:kern w:val="0"/>
                      <w:szCs w:val="21"/>
                    </w:rPr>
                    <w:t>」</w:t>
                  </w:r>
                  <w:r w:rsidRPr="00F17ABF">
                    <w:rPr>
                      <w:rFonts w:ascii="ＭＳ 明朝" w:hAnsi="ＭＳ 明朝" w:cs="ＭＳ 明朝" w:hint="eastAsia"/>
                      <w:spacing w:val="6"/>
                      <w:kern w:val="0"/>
                      <w:szCs w:val="21"/>
                    </w:rPr>
                    <w:t>と</w:t>
                  </w:r>
                  <w:r>
                    <w:rPr>
                      <w:rFonts w:ascii="ＭＳ 明朝" w:hAnsi="ＭＳ 明朝" w:cs="ＭＳ 明朝" w:hint="eastAsia"/>
                      <w:spacing w:val="6"/>
                      <w:kern w:val="0"/>
                      <w:szCs w:val="21"/>
                    </w:rPr>
                    <w:t>「</w:t>
                  </w:r>
                  <w:r w:rsidRPr="00F17ABF">
                    <w:rPr>
                      <w:rFonts w:ascii="ＭＳ 明朝" w:hAnsi="ＭＳ 明朝" w:cs="ＭＳ 明朝" w:hint="eastAsia"/>
                      <w:spacing w:val="6"/>
                      <w:kern w:val="0"/>
                      <w:szCs w:val="21"/>
                    </w:rPr>
                    <w:t>医療版DX</w:t>
                  </w:r>
                  <w:r>
                    <w:rPr>
                      <w:rFonts w:ascii="ＭＳ 明朝" w:hAnsi="ＭＳ 明朝" w:cs="ＭＳ 明朝" w:hint="eastAsia"/>
                      <w:spacing w:val="6"/>
                      <w:kern w:val="0"/>
                      <w:szCs w:val="21"/>
                    </w:rPr>
                    <w:t>」</w:t>
                  </w:r>
                  <w:r w:rsidRPr="00F17ABF">
                    <w:rPr>
                      <w:rFonts w:ascii="ＭＳ 明朝" w:hAnsi="ＭＳ 明朝" w:cs="ＭＳ 明朝" w:hint="eastAsia"/>
                      <w:spacing w:val="6"/>
                      <w:kern w:val="0"/>
                      <w:szCs w:val="21"/>
                    </w:rPr>
                    <w:t>の融合により、既存サービスの進化と新たな医療サービスの創出を実現することで、</w:t>
                  </w:r>
                  <w:r>
                    <w:rPr>
                      <w:rFonts w:ascii="ＭＳ 明朝" w:hAnsi="ＭＳ 明朝" w:cs="ＭＳ 明朝" w:hint="eastAsia"/>
                      <w:spacing w:val="6"/>
                      <w:kern w:val="0"/>
                      <w:szCs w:val="21"/>
                    </w:rPr>
                    <w:t>5大</w:t>
                  </w:r>
                  <w:r w:rsidRPr="00F17ABF">
                    <w:rPr>
                      <w:rFonts w:ascii="ＭＳ 明朝" w:hAnsi="ＭＳ 明朝" w:cs="ＭＳ 明朝" w:hint="eastAsia"/>
                      <w:spacing w:val="6"/>
                      <w:kern w:val="0"/>
                      <w:szCs w:val="21"/>
                    </w:rPr>
                    <w:t>ステークホルダー（患者さま・生活者さま、医療機関、</w:t>
                  </w:r>
                  <w:r>
                    <w:rPr>
                      <w:rFonts w:ascii="ＭＳ 明朝" w:hAnsi="ＭＳ 明朝" w:cs="ＭＳ 明朝" w:hint="eastAsia"/>
                      <w:spacing w:val="6"/>
                      <w:kern w:val="0"/>
                      <w:szCs w:val="21"/>
                    </w:rPr>
                    <w:t>地域</w:t>
                  </w:r>
                  <w:r w:rsidRPr="00F17ABF">
                    <w:rPr>
                      <w:rFonts w:ascii="ＭＳ 明朝" w:hAnsi="ＭＳ 明朝" w:cs="ＭＳ 明朝" w:hint="eastAsia"/>
                      <w:spacing w:val="6"/>
                      <w:kern w:val="0"/>
                      <w:szCs w:val="21"/>
                    </w:rPr>
                    <w:t>社会、株主、従業員）に価値を提供します。</w:t>
                  </w:r>
                </w:p>
                <w:p w:rsidR="00256730" w:rsidRDefault="00256730" w:rsidP="0025673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5つのDX戦略</w:t>
                  </w:r>
                </w:p>
                <w:p w:rsidR="00256730" w:rsidRDefault="00256730" w:rsidP="0025673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31062C">
                    <w:rPr>
                      <w:rFonts w:ascii="ＭＳ 明朝" w:hAnsi="ＭＳ 明朝" w:cs="ＭＳ 明朝" w:hint="eastAsia"/>
                      <w:spacing w:val="6"/>
                      <w:kern w:val="0"/>
                      <w:szCs w:val="21"/>
                    </w:rPr>
                    <w:t>日本調剤における医療版DXとして、以下</w:t>
                  </w:r>
                  <w:r>
                    <w:rPr>
                      <w:rFonts w:ascii="ＭＳ 明朝" w:hAnsi="ＭＳ 明朝" w:cs="ＭＳ 明朝" w:hint="eastAsia"/>
                      <w:spacing w:val="6"/>
                      <w:kern w:val="0"/>
                      <w:szCs w:val="21"/>
                    </w:rPr>
                    <w:t>5</w:t>
                  </w:r>
                  <w:r w:rsidRPr="0031062C">
                    <w:rPr>
                      <w:rFonts w:ascii="ＭＳ 明朝" w:hAnsi="ＭＳ 明朝" w:cs="ＭＳ 明朝" w:hint="eastAsia"/>
                      <w:spacing w:val="6"/>
                      <w:kern w:val="0"/>
                      <w:szCs w:val="21"/>
                    </w:rPr>
                    <w:t>つのDX戦略を挙げています。</w:t>
                  </w:r>
                </w:p>
                <w:p w:rsidR="00256730" w:rsidRPr="00F17ABF" w:rsidRDefault="00256730" w:rsidP="0025673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＜コアビジネスの変革＞</w:t>
                  </w:r>
                </w:p>
                <w:p w:rsidR="00256730" w:rsidRDefault="00256730" w:rsidP="00634E7E">
                  <w:pPr>
                    <w:pStyle w:val="af"/>
                    <w:numPr>
                      <w:ilvl w:val="0"/>
                      <w:numId w:val="7"/>
                    </w:numPr>
                    <w:suppressAutoHyphens/>
                    <w:kinsoku w:val="0"/>
                    <w:overflowPunct w:val="0"/>
                    <w:adjustRightInd w:val="0"/>
                    <w:spacing w:afterLines="50" w:after="120" w:line="238" w:lineRule="exact"/>
                    <w:ind w:leftChars="0" w:left="669" w:hanging="24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スマート医療の提供（</w:t>
                  </w:r>
                  <w:r w:rsidRPr="00BA72FD">
                    <w:rPr>
                      <w:rFonts w:ascii="ＭＳ 明朝" w:hAnsi="ＭＳ 明朝" w:cs="ＭＳ 明朝" w:hint="eastAsia"/>
                      <w:spacing w:val="6"/>
                      <w:kern w:val="0"/>
                      <w:szCs w:val="21"/>
                    </w:rPr>
                    <w:t>誰もがオンラインによる診察、服薬指導、薬の</w:t>
                  </w:r>
                  <w:r>
                    <w:rPr>
                      <w:rFonts w:ascii="ＭＳ 明朝" w:hAnsi="ＭＳ 明朝" w:cs="ＭＳ 明朝" w:hint="eastAsia"/>
                      <w:spacing w:val="6"/>
                      <w:kern w:val="0"/>
                      <w:szCs w:val="21"/>
                    </w:rPr>
                    <w:t>受け取り</w:t>
                  </w:r>
                  <w:r w:rsidRPr="00BA72FD">
                    <w:rPr>
                      <w:rFonts w:ascii="ＭＳ 明朝" w:hAnsi="ＭＳ 明朝" w:cs="ＭＳ 明朝" w:hint="eastAsia"/>
                      <w:spacing w:val="6"/>
                      <w:kern w:val="0"/>
                      <w:szCs w:val="21"/>
                    </w:rPr>
                    <w:t>までシームレスに受</w:t>
                  </w:r>
                  <w:r w:rsidRPr="00BA72FD">
                    <w:rPr>
                      <w:rFonts w:ascii="ＭＳ 明朝" w:hAnsi="ＭＳ 明朝" w:cs="ＭＳ 明朝" w:hint="eastAsia"/>
                      <w:spacing w:val="6"/>
                      <w:kern w:val="0"/>
                      <w:szCs w:val="21"/>
                    </w:rPr>
                    <w:lastRenderedPageBreak/>
                    <w:t>けられるスマート医療の提供</w:t>
                  </w:r>
                  <w:r>
                    <w:rPr>
                      <w:rFonts w:ascii="ＭＳ 明朝" w:hAnsi="ＭＳ 明朝" w:cs="ＭＳ 明朝" w:hint="eastAsia"/>
                      <w:spacing w:val="6"/>
                      <w:kern w:val="0"/>
                      <w:szCs w:val="21"/>
                    </w:rPr>
                    <w:t>）</w:t>
                  </w:r>
                </w:p>
                <w:p w:rsidR="00634E7E" w:rsidRDefault="00634E7E" w:rsidP="00634E7E">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r w:rsidRPr="00634E7E">
                    <w:rPr>
                      <w:rFonts w:ascii="ＭＳ 明朝" w:hAnsi="ＭＳ 明朝" w:cs="ＭＳ 明朝" w:hint="eastAsia"/>
                      <w:spacing w:val="6"/>
                      <w:kern w:val="0"/>
                      <w:szCs w:val="21"/>
                    </w:rPr>
                    <w:t>オンライン診療サービス（他社提供）と日本調剤オンライン薬局サービス「NiCOMS」の連携を行い、診療予約と服薬指導予約を少ない手順で実現。その後のお薬の受け取りも、店舗でのピックアップ、配送、ロッカー受け取りなどニーズに沿った方法を提供。</w:t>
                  </w:r>
                </w:p>
                <w:p w:rsidR="00256730" w:rsidRDefault="00256730" w:rsidP="00634E7E">
                  <w:pPr>
                    <w:pStyle w:val="af"/>
                    <w:numPr>
                      <w:ilvl w:val="0"/>
                      <w:numId w:val="7"/>
                    </w:numPr>
                    <w:suppressAutoHyphens/>
                    <w:kinsoku w:val="0"/>
                    <w:overflowPunct w:val="0"/>
                    <w:adjustRightInd w:val="0"/>
                    <w:spacing w:afterLines="50" w:after="120" w:line="238" w:lineRule="exact"/>
                    <w:ind w:leftChars="0" w:left="702" w:hanging="28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新たな顧客体験の創出（</w:t>
                  </w:r>
                  <w:r w:rsidRPr="0031062C">
                    <w:rPr>
                      <w:rFonts w:ascii="ＭＳ 明朝" w:hAnsi="ＭＳ 明朝" w:cs="ＭＳ 明朝" w:hint="eastAsia"/>
                      <w:spacing w:val="6"/>
                      <w:kern w:val="0"/>
                      <w:szCs w:val="21"/>
                    </w:rPr>
                    <w:t>リアル店舗とオンラインの融合による新たな顧客体験の創出</w:t>
                  </w:r>
                  <w:r>
                    <w:rPr>
                      <w:rFonts w:ascii="ＭＳ 明朝" w:hAnsi="ＭＳ 明朝" w:cs="ＭＳ 明朝" w:hint="eastAsia"/>
                      <w:spacing w:val="6"/>
                      <w:kern w:val="0"/>
                      <w:szCs w:val="21"/>
                    </w:rPr>
                    <w:t>）</w:t>
                  </w:r>
                </w:p>
                <w:p w:rsidR="00634E7E" w:rsidRDefault="00634E7E" w:rsidP="00634E7E">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r w:rsidRPr="00634E7E">
                    <w:rPr>
                      <w:rFonts w:ascii="ＭＳ 明朝" w:hAnsi="ＭＳ 明朝" w:cs="ＭＳ 明朝" w:hint="eastAsia"/>
                      <w:spacing w:val="6"/>
                      <w:kern w:val="0"/>
                      <w:szCs w:val="21"/>
                    </w:rPr>
                    <w:t>ニーズに応じてリアル店舗とオンラインの両方でのサービスを提供。在宅医療ではタブレット端末を用いた「在宅コミュニーケーションシステム」を活用することで、リアルでもオンラインでも同様のサービスを実現。栄養指導においても「健康相談システム」を活用し、リアルとオンラインのサービスを実現。</w:t>
                  </w:r>
                </w:p>
                <w:p w:rsidR="00256730" w:rsidRDefault="00256730" w:rsidP="00634E7E">
                  <w:pPr>
                    <w:pStyle w:val="af"/>
                    <w:numPr>
                      <w:ilvl w:val="0"/>
                      <w:numId w:val="7"/>
                    </w:numPr>
                    <w:suppressAutoHyphens/>
                    <w:kinsoku w:val="0"/>
                    <w:overflowPunct w:val="0"/>
                    <w:adjustRightInd w:val="0"/>
                    <w:spacing w:afterLines="50" w:after="120" w:line="238" w:lineRule="exact"/>
                    <w:ind w:leftChars="0" w:left="702" w:hanging="283"/>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顧客満足度向上と治療効果の最大化（「お薬手帳プラス」</w:t>
                  </w:r>
                  <w:r w:rsidRPr="0031062C">
                    <w:rPr>
                      <w:rFonts w:ascii="ＭＳ 明朝" w:hAnsi="ＭＳ 明朝" w:cs="ＭＳ 明朝" w:hint="eastAsia"/>
                      <w:spacing w:val="6"/>
                      <w:kern w:val="0"/>
                      <w:szCs w:val="21"/>
                    </w:rPr>
                    <w:t>を活用したタッチポイント増加により、顧客満足度向上と治療効果の最大化を実現</w:t>
                  </w:r>
                  <w:r>
                    <w:rPr>
                      <w:rFonts w:ascii="ＭＳ 明朝" w:hAnsi="ＭＳ 明朝" w:cs="ＭＳ 明朝" w:hint="eastAsia"/>
                      <w:spacing w:val="6"/>
                      <w:kern w:val="0"/>
                      <w:szCs w:val="21"/>
                    </w:rPr>
                    <w:t>）</w:t>
                  </w:r>
                </w:p>
                <w:p w:rsidR="008E60F9" w:rsidRDefault="008E60F9" w:rsidP="008E60F9">
                  <w:pPr>
                    <w:suppressAutoHyphens/>
                    <w:kinsoku w:val="0"/>
                    <w:overflowPunct w:val="0"/>
                    <w:adjustRightInd w:val="0"/>
                    <w:spacing w:afterLines="50" w:after="120" w:line="238" w:lineRule="exact"/>
                    <w:ind w:left="702"/>
                    <w:jc w:val="left"/>
                    <w:textAlignment w:val="center"/>
                    <w:rPr>
                      <w:rFonts w:ascii="ＭＳ 明朝" w:eastAsia="ＭＳ 明朝" w:hAnsi="ＭＳ 明朝" w:cs="ＭＳ 明朝"/>
                      <w:spacing w:val="6"/>
                      <w:kern w:val="0"/>
                      <w:szCs w:val="21"/>
                    </w:rPr>
                  </w:pPr>
                  <w:r w:rsidRPr="008E60F9">
                    <w:rPr>
                      <w:rFonts w:ascii="ＭＳ 明朝" w:eastAsia="ＭＳ 明朝" w:hAnsi="ＭＳ 明朝" w:cs="ＭＳ 明朝" w:hint="eastAsia"/>
                      <w:spacing w:val="6"/>
                      <w:kern w:val="0"/>
                      <w:szCs w:val="21"/>
                    </w:rPr>
                    <w:t>電子お薬手帳「お薬手帳プラス」に組み込んだ「つながる」機能を活用し、服薬指導後、患者さまがご自宅で治療される際に、副作用発現有無の確認をテキストメッセージを用いることで</w:t>
                  </w:r>
                  <w:r>
                    <w:rPr>
                      <w:rFonts w:ascii="ＭＳ 明朝" w:eastAsia="ＭＳ 明朝" w:hAnsi="ＭＳ 明朝" w:cs="ＭＳ 明朝" w:hint="eastAsia"/>
                      <w:spacing w:val="6"/>
                      <w:kern w:val="0"/>
                      <w:szCs w:val="21"/>
                    </w:rPr>
                    <w:t>より広範囲でのサービス提供を実現。患者さまからメッセージを送信する機能</w:t>
                  </w:r>
                  <w:r w:rsidRPr="008E60F9">
                    <w:rPr>
                      <w:rFonts w:ascii="ＭＳ 明朝" w:eastAsia="ＭＳ 明朝" w:hAnsi="ＭＳ 明朝" w:cs="ＭＳ 明朝" w:hint="eastAsia"/>
                      <w:spacing w:val="6"/>
                      <w:kern w:val="0"/>
                      <w:szCs w:val="21"/>
                    </w:rPr>
                    <w:t>もあり</w:t>
                  </w:r>
                  <w:r>
                    <w:rPr>
                      <w:rFonts w:ascii="ＭＳ 明朝" w:eastAsia="ＭＳ 明朝" w:hAnsi="ＭＳ 明朝" w:cs="ＭＳ 明朝" w:hint="eastAsia"/>
                      <w:spacing w:val="6"/>
                      <w:kern w:val="0"/>
                      <w:szCs w:val="21"/>
                    </w:rPr>
                    <w:t>、</w:t>
                  </w:r>
                  <w:r w:rsidRPr="008E60F9">
                    <w:rPr>
                      <w:rFonts w:ascii="ＭＳ 明朝" w:eastAsia="ＭＳ 明朝" w:hAnsi="ＭＳ 明朝" w:cs="ＭＳ 明朝" w:hint="eastAsia"/>
                      <w:spacing w:val="6"/>
                      <w:kern w:val="0"/>
                      <w:szCs w:val="21"/>
                    </w:rPr>
                    <w:t>双方向でのタッチポイント増加により治療効果の最大化に貢献。</w:t>
                  </w:r>
                </w:p>
                <w:p w:rsidR="00256730" w:rsidRPr="00F17ABF" w:rsidRDefault="00256730" w:rsidP="00256730">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＜新規ビジネスの創出＞</w:t>
                  </w:r>
                </w:p>
                <w:p w:rsidR="00256730" w:rsidRDefault="00256730" w:rsidP="00634E7E">
                  <w:pPr>
                    <w:pStyle w:val="af"/>
                    <w:numPr>
                      <w:ilvl w:val="0"/>
                      <w:numId w:val="7"/>
                    </w:numPr>
                    <w:suppressAutoHyphens/>
                    <w:kinsoku w:val="0"/>
                    <w:overflowPunct w:val="0"/>
                    <w:adjustRightInd w:val="0"/>
                    <w:spacing w:afterLines="50" w:after="120" w:line="238" w:lineRule="exact"/>
                    <w:ind w:leftChars="0" w:left="702" w:hanging="283"/>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付加価値情報の提供（医薬品情報</w:t>
                  </w:r>
                  <w:r w:rsidR="00A953E7">
                    <w:rPr>
                      <w:rFonts w:ascii="ＭＳ 明朝" w:hAnsi="ＭＳ 明朝" w:cs="ＭＳ 明朝" w:hint="eastAsia"/>
                      <w:spacing w:val="6"/>
                      <w:kern w:val="0"/>
                      <w:szCs w:val="21"/>
                    </w:rPr>
                    <w:t>WEB</w:t>
                  </w:r>
                  <w:r w:rsidRPr="008B7F08">
                    <w:rPr>
                      <w:rFonts w:ascii="ＭＳ 明朝" w:hAnsi="ＭＳ 明朝" w:cs="ＭＳ 明朝" w:hint="eastAsia"/>
                      <w:spacing w:val="6"/>
                      <w:kern w:val="0"/>
                      <w:szCs w:val="21"/>
                    </w:rPr>
                    <w:t>プラットフォーム「FINDAT」による</w:t>
                  </w:r>
                  <w:r>
                    <w:rPr>
                      <w:rFonts w:ascii="ＭＳ 明朝" w:hAnsi="ＭＳ 明朝" w:cs="ＭＳ 明朝" w:hint="eastAsia"/>
                      <w:spacing w:val="6"/>
                      <w:kern w:val="0"/>
                      <w:szCs w:val="21"/>
                    </w:rPr>
                    <w:t>付加価値情報の提供）</w:t>
                  </w:r>
                </w:p>
                <w:p w:rsidR="008E60F9" w:rsidRPr="008E60F9" w:rsidRDefault="008E60F9" w:rsidP="008E60F9">
                  <w:pPr>
                    <w:suppressAutoHyphens/>
                    <w:kinsoku w:val="0"/>
                    <w:overflowPunct w:val="0"/>
                    <w:adjustRightInd w:val="0"/>
                    <w:spacing w:afterLines="50" w:after="120" w:line="238" w:lineRule="exact"/>
                    <w:ind w:left="702"/>
                    <w:jc w:val="left"/>
                    <w:textAlignment w:val="center"/>
                    <w:rPr>
                      <w:rFonts w:ascii="ＭＳ 明朝" w:eastAsia="ＭＳ 明朝" w:hAnsi="ＭＳ 明朝" w:cs="ＭＳ 明朝"/>
                      <w:spacing w:val="6"/>
                      <w:kern w:val="0"/>
                      <w:szCs w:val="21"/>
                    </w:rPr>
                  </w:pPr>
                  <w:r w:rsidRPr="008E60F9">
                    <w:rPr>
                      <w:rFonts w:ascii="ＭＳ 明朝" w:eastAsia="ＭＳ 明朝" w:hAnsi="ＭＳ 明朝" w:cs="ＭＳ 明朝" w:hint="eastAsia"/>
                      <w:spacing w:val="6"/>
                      <w:kern w:val="0"/>
                      <w:szCs w:val="21"/>
                    </w:rPr>
                    <w:t>各病院DI室で実施している医薬品情報の取得や取得した情報の分析・加工に多くの時間と人材が必要となっているが、医薬品情報WEBプラットフォームFINDATでは、これらの2次情報を集約しクラウド上で提供することで、病院DI業務をサポートし負担軽減を実現。薬局への導入も開始し、2次情報を活用することでトレーシングレポートの内容充実と作成の負荷軽減を実現。</w:t>
                  </w:r>
                </w:p>
                <w:p w:rsidR="00256730" w:rsidRPr="008B7F08" w:rsidRDefault="00256730" w:rsidP="0025673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8B7F08">
                    <w:rPr>
                      <w:rFonts w:ascii="ＭＳ 明朝" w:hAnsi="ＭＳ 明朝" w:cs="ＭＳ 明朝" w:hint="eastAsia"/>
                      <w:spacing w:val="6"/>
                      <w:kern w:val="0"/>
                      <w:szCs w:val="21"/>
                    </w:rPr>
                    <w:t>＜業務プロセスの変革＞</w:t>
                  </w:r>
                </w:p>
                <w:p w:rsidR="00D1302E" w:rsidRPr="00085262" w:rsidRDefault="00256730" w:rsidP="00634E7E">
                  <w:pPr>
                    <w:numPr>
                      <w:ilvl w:val="0"/>
                      <w:numId w:val="7"/>
                    </w:numPr>
                    <w:suppressAutoHyphens/>
                    <w:kinsoku w:val="0"/>
                    <w:overflowPunct w:val="0"/>
                    <w:adjustRightInd w:val="0"/>
                    <w:spacing w:afterLines="50" w:after="120" w:line="238" w:lineRule="exact"/>
                    <w:ind w:left="702" w:hanging="283"/>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業務の効率化・対人業務時間の創出（</w:t>
                  </w:r>
                  <w:r w:rsidRPr="0031062C">
                    <w:rPr>
                      <w:rFonts w:ascii="ＭＳ 明朝" w:hAnsi="ＭＳ 明朝" w:cs="ＭＳ 明朝" w:hint="eastAsia"/>
                      <w:spacing w:val="6"/>
                      <w:kern w:val="0"/>
                      <w:szCs w:val="21"/>
                    </w:rPr>
                    <w:t>デジタルを活用した業務の効率化による業務時間の削減及び対人業務時間の創出</w:t>
                  </w:r>
                  <w:r>
                    <w:rPr>
                      <w:rFonts w:ascii="ＭＳ 明朝" w:hAnsi="ＭＳ 明朝" w:cs="ＭＳ 明朝" w:hint="eastAsia"/>
                      <w:spacing w:val="6"/>
                      <w:kern w:val="0"/>
                      <w:szCs w:val="21"/>
                    </w:rPr>
                    <w:t>）</w:t>
                  </w:r>
                </w:p>
                <w:p w:rsidR="00085262" w:rsidRPr="00DD56DC" w:rsidRDefault="00085262" w:rsidP="00087396">
                  <w:pPr>
                    <w:suppressAutoHyphens/>
                    <w:kinsoku w:val="0"/>
                    <w:overflowPunct w:val="0"/>
                    <w:adjustRightInd w:val="0"/>
                    <w:spacing w:afterLines="50" w:after="120" w:line="238" w:lineRule="exact"/>
                    <w:ind w:left="70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処方内容をデジタル化</w:t>
                  </w:r>
                  <w:r w:rsidR="00087396">
                    <w:rPr>
                      <w:rFonts w:ascii="ＭＳ 明朝" w:hAnsi="ＭＳ 明朝" w:cs="ＭＳ 明朝" w:hint="eastAsia"/>
                      <w:spacing w:val="6"/>
                      <w:kern w:val="0"/>
                      <w:szCs w:val="21"/>
                    </w:rPr>
                    <w:t>した上で</w:t>
                  </w:r>
                  <w:r>
                    <w:rPr>
                      <w:rFonts w:ascii="ＭＳ 明朝" w:hAnsi="ＭＳ 明朝" w:cs="ＭＳ 明朝" w:hint="eastAsia"/>
                      <w:spacing w:val="6"/>
                      <w:kern w:val="0"/>
                      <w:szCs w:val="21"/>
                    </w:rPr>
                    <w:t>データ連携させることにより、</w:t>
                  </w:r>
                  <w:r w:rsidR="00087396">
                    <w:rPr>
                      <w:rFonts w:ascii="ＭＳ 明朝" w:hAnsi="ＭＳ 明朝" w:cs="ＭＳ 明朝" w:hint="eastAsia"/>
                      <w:spacing w:val="6"/>
                      <w:kern w:val="0"/>
                      <w:szCs w:val="21"/>
                    </w:rPr>
                    <w:t>調剤ロボットによる一包化・散薬分包の自動化や画像認識機器による監査業務を実現。これらの取り組みにより、業務の正確性・安全性・効率性を確保し、創出された時間を対人業務に振り向けることで、医療サービスの充実、医薬品の適正使用、薬剤師の専門性向上に貢献。</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256730" w:rsidRPr="005F13F6" w:rsidRDefault="00256730"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256730" w:rsidP="00256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本資料は、全社戦略に基づき推進しているデジタルトランスフォーメーション戦略を各ステークホルダーに向けて対外的に公表する資料であり、</w:t>
                  </w:r>
                  <w:r w:rsidR="005B734F">
                    <w:rPr>
                      <w:rFonts w:ascii="ＭＳ 明朝" w:eastAsia="ＭＳ 明朝" w:hAnsi="ＭＳ 明朝" w:cs="ＭＳ 明朝"/>
                      <w:spacing w:val="6"/>
                      <w:kern w:val="0"/>
                      <w:szCs w:val="21"/>
                    </w:rPr>
                    <w:t>202</w:t>
                  </w:r>
                  <w:r w:rsidR="005B734F">
                    <w:rPr>
                      <w:rFonts w:ascii="ＭＳ 明朝" w:eastAsia="ＭＳ 明朝" w:hAnsi="ＭＳ 明朝" w:cs="ＭＳ 明朝" w:hint="eastAsia"/>
                      <w:spacing w:val="6"/>
                      <w:kern w:val="0"/>
                      <w:szCs w:val="21"/>
                    </w:rPr>
                    <w:t>3</w:t>
                  </w:r>
                  <w:r w:rsidRPr="005F13F6">
                    <w:rPr>
                      <w:rFonts w:ascii="ＭＳ 明朝" w:eastAsia="ＭＳ 明朝" w:hAnsi="ＭＳ 明朝" w:cs="ＭＳ 明朝"/>
                      <w:spacing w:val="6"/>
                      <w:kern w:val="0"/>
                      <w:szCs w:val="21"/>
                    </w:rPr>
                    <w:t>年</w:t>
                  </w:r>
                  <w:r w:rsidR="005B734F">
                    <w:rPr>
                      <w:rFonts w:ascii="ＭＳ 明朝" w:eastAsia="ＭＳ 明朝" w:hAnsi="ＭＳ 明朝" w:cs="ＭＳ 明朝" w:hint="eastAsia"/>
                      <w:spacing w:val="6"/>
                      <w:kern w:val="0"/>
                      <w:szCs w:val="21"/>
                    </w:rPr>
                    <w:t>9</w:t>
                  </w:r>
                  <w:r w:rsidRPr="005F13F6">
                    <w:rPr>
                      <w:rFonts w:ascii="ＭＳ 明朝" w:eastAsia="ＭＳ 明朝" w:hAnsi="ＭＳ 明朝" w:cs="ＭＳ 明朝"/>
                      <w:spacing w:val="6"/>
                      <w:kern w:val="0"/>
                      <w:szCs w:val="21"/>
                    </w:rPr>
                    <w:t>月</w:t>
                  </w:r>
                  <w:r w:rsidR="005B734F">
                    <w:rPr>
                      <w:rFonts w:ascii="ＭＳ 明朝" w:eastAsia="ＭＳ 明朝" w:hAnsi="ＭＳ 明朝" w:cs="ＭＳ 明朝" w:hint="eastAsia"/>
                      <w:spacing w:val="6"/>
                      <w:kern w:val="0"/>
                      <w:szCs w:val="21"/>
                    </w:rPr>
                    <w:t>19</w:t>
                  </w:r>
                  <w:r w:rsidRPr="005F13F6">
                    <w:rPr>
                      <w:rFonts w:ascii="ＭＳ 明朝" w:eastAsia="ＭＳ 明朝" w:hAnsi="ＭＳ 明朝" w:cs="ＭＳ 明朝"/>
                      <w:spacing w:val="6"/>
                      <w:kern w:val="0"/>
                      <w:szCs w:val="21"/>
                    </w:rPr>
                    <w:t>日開催の取締役会にて承認を受けたもの。</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127BAB" w:rsidRPr="00127BAB" w:rsidRDefault="00127BAB" w:rsidP="00127BA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27BAB">
                    <w:rPr>
                      <w:rFonts w:ascii="ＭＳ 明朝" w:eastAsia="ＭＳ 明朝" w:hAnsi="ＭＳ 明朝" w:cs="ＭＳ 明朝" w:hint="eastAsia"/>
                      <w:spacing w:val="6"/>
                      <w:kern w:val="0"/>
                      <w:szCs w:val="21"/>
                    </w:rPr>
                    <w:t>「デジタルトランスフォーメーション戦略」</w:t>
                  </w:r>
                </w:p>
                <w:p w:rsidR="00127BAB" w:rsidRPr="00127BAB" w:rsidRDefault="00127BAB" w:rsidP="0012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7BAB">
                    <w:rPr>
                      <w:rFonts w:ascii="ＭＳ 明朝" w:eastAsia="ＭＳ 明朝" w:hAnsi="ＭＳ 明朝" w:cs="ＭＳ 明朝" w:hint="eastAsia"/>
                      <w:spacing w:val="6"/>
                      <w:kern w:val="0"/>
                      <w:szCs w:val="21"/>
                    </w:rPr>
                    <w:t>記載箇所：DX推進基盤：組織体制（p</w:t>
                  </w:r>
                  <w:r w:rsidRPr="00127BAB">
                    <w:rPr>
                      <w:rFonts w:ascii="ＭＳ 明朝" w:eastAsia="ＭＳ 明朝" w:hAnsi="ＭＳ 明朝" w:cs="ＭＳ 明朝"/>
                      <w:spacing w:val="6"/>
                      <w:kern w:val="0"/>
                      <w:szCs w:val="21"/>
                    </w:rPr>
                    <w:t>.10</w:t>
                  </w:r>
                  <w:r w:rsidRPr="00127BAB">
                    <w:rPr>
                      <w:rFonts w:ascii="ＭＳ 明朝" w:eastAsia="ＭＳ 明朝" w:hAnsi="ＭＳ 明朝" w:cs="ＭＳ 明朝" w:hint="eastAsia"/>
                      <w:spacing w:val="6"/>
                      <w:kern w:val="0"/>
                      <w:szCs w:val="21"/>
                    </w:rPr>
                    <w:t>）</w:t>
                  </w:r>
                </w:p>
                <w:p w:rsidR="00D1302E" w:rsidRPr="00DD56DC" w:rsidRDefault="00127BAB" w:rsidP="0012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7BAB">
                    <w:rPr>
                      <w:rFonts w:ascii="ＭＳ 明朝" w:eastAsia="ＭＳ 明朝" w:hAnsi="ＭＳ 明朝" w:cs="ＭＳ 明朝" w:hint="eastAsia"/>
                      <w:spacing w:val="6"/>
                      <w:kern w:val="0"/>
                      <w:szCs w:val="21"/>
                    </w:rPr>
                    <w:t xml:space="preserve">　　　　　DX推進基盤：DX人材（p</w:t>
                  </w:r>
                  <w:r w:rsidRPr="00127BAB">
                    <w:rPr>
                      <w:rFonts w:ascii="ＭＳ 明朝" w:eastAsia="ＭＳ 明朝" w:hAnsi="ＭＳ 明朝" w:cs="ＭＳ 明朝"/>
                      <w:spacing w:val="6"/>
                      <w:kern w:val="0"/>
                      <w:szCs w:val="21"/>
                    </w:rPr>
                    <w:t>.11</w:t>
                  </w:r>
                  <w:r w:rsidRPr="00127BAB">
                    <w:rPr>
                      <w:rFonts w:ascii="ＭＳ 明朝" w:eastAsia="ＭＳ 明朝" w:hAnsi="ＭＳ 明朝" w:cs="ＭＳ 明朝" w:hint="eastAsia"/>
                      <w:spacing w:val="6"/>
                      <w:kern w:val="0"/>
                      <w:szCs w:val="21"/>
                    </w:rPr>
                    <w:t>）</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27BAB" w:rsidRDefault="00127BAB" w:rsidP="00127BA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戦略を推進するための体制・組織</w:t>
                  </w:r>
                </w:p>
                <w:p w:rsidR="00127BAB" w:rsidRDefault="00127BAB" w:rsidP="00127BAB">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トップ自らの強力なコミットメントの下</w:t>
                  </w:r>
                  <w:r w:rsidRPr="008738F9">
                    <w:rPr>
                      <w:rFonts w:ascii="ＭＳ 明朝" w:hAnsi="ＭＳ 明朝" w:cs="ＭＳ 明朝" w:hint="eastAsia"/>
                      <w:spacing w:val="6"/>
                      <w:kern w:val="0"/>
                      <w:szCs w:val="21"/>
                    </w:rPr>
                    <w:t>で、事業側とシステム側の両輪の体制によりDXを推進します。</w:t>
                  </w:r>
                </w:p>
                <w:p w:rsidR="00127BAB" w:rsidRPr="008738F9" w:rsidRDefault="00127BAB" w:rsidP="008E60F9">
                  <w:pPr>
                    <w:pStyle w:val="af"/>
                    <w:numPr>
                      <w:ilvl w:val="0"/>
                      <w:numId w:val="9"/>
                    </w:numPr>
                    <w:suppressAutoHyphens/>
                    <w:kinsoku w:val="0"/>
                    <w:overflowPunct w:val="0"/>
                    <w:adjustRightInd w:val="0"/>
                    <w:spacing w:afterLines="50" w:after="120" w:line="238" w:lineRule="exact"/>
                    <w:ind w:leftChars="0" w:left="702" w:hanging="283"/>
                    <w:jc w:val="left"/>
                    <w:textAlignment w:val="center"/>
                    <w:rPr>
                      <w:rFonts w:ascii="ＭＳ 明朝" w:hAnsi="ＭＳ 明朝" w:cs="ＭＳ 明朝"/>
                      <w:spacing w:val="6"/>
                      <w:kern w:val="0"/>
                      <w:szCs w:val="21"/>
                    </w:rPr>
                  </w:pPr>
                  <w:r w:rsidRPr="008738F9">
                    <w:rPr>
                      <w:rFonts w:ascii="ＭＳ 明朝" w:hAnsi="ＭＳ 明朝" w:cs="ＭＳ 明朝" w:hint="eastAsia"/>
                      <w:spacing w:val="6"/>
                      <w:kern w:val="0"/>
                      <w:szCs w:val="21"/>
                    </w:rPr>
                    <w:t>DXの一層の推進を図るため、システム第1部、第2部を統括するシステム本部を新設。（2021年4月）</w:t>
                  </w:r>
                </w:p>
                <w:p w:rsidR="00127BAB" w:rsidRPr="008738F9" w:rsidRDefault="00127BAB" w:rsidP="008E60F9">
                  <w:pPr>
                    <w:pStyle w:val="af"/>
                    <w:numPr>
                      <w:ilvl w:val="1"/>
                      <w:numId w:val="5"/>
                    </w:numPr>
                    <w:suppressAutoHyphens/>
                    <w:kinsoku w:val="0"/>
                    <w:overflowPunct w:val="0"/>
                    <w:adjustRightInd w:val="0"/>
                    <w:spacing w:afterLines="50" w:after="120" w:line="238" w:lineRule="exact"/>
                    <w:ind w:leftChars="0" w:left="702" w:hanging="283"/>
                    <w:jc w:val="left"/>
                    <w:textAlignment w:val="center"/>
                    <w:rPr>
                      <w:rFonts w:ascii="ＭＳ 明朝" w:hAnsi="ＭＳ 明朝" w:cs="ＭＳ 明朝"/>
                      <w:spacing w:val="6"/>
                      <w:kern w:val="0"/>
                      <w:szCs w:val="21"/>
                    </w:rPr>
                  </w:pPr>
                  <w:r w:rsidRPr="008738F9">
                    <w:rPr>
                      <w:rFonts w:ascii="ＭＳ 明朝" w:hAnsi="ＭＳ 明朝" w:cs="ＭＳ 明朝" w:hint="eastAsia"/>
                      <w:spacing w:val="6"/>
                      <w:kern w:val="0"/>
                      <w:szCs w:val="21"/>
                    </w:rPr>
                    <w:t>全社戦略の下、調剤薬局事業全体のDXを推進する薬剤企画部を新設。（2021年4月）</w:t>
                  </w:r>
                </w:p>
                <w:p w:rsidR="00127BAB" w:rsidRDefault="005B734F" w:rsidP="008E60F9">
                  <w:pPr>
                    <w:pStyle w:val="af"/>
                    <w:numPr>
                      <w:ilvl w:val="1"/>
                      <w:numId w:val="5"/>
                    </w:numPr>
                    <w:suppressAutoHyphens/>
                    <w:kinsoku w:val="0"/>
                    <w:overflowPunct w:val="0"/>
                    <w:adjustRightInd w:val="0"/>
                    <w:spacing w:afterLines="50" w:after="120" w:line="238" w:lineRule="exact"/>
                    <w:ind w:leftChars="0" w:left="702" w:hanging="283"/>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プロジェクト</w:t>
                  </w:r>
                  <w:r w:rsidR="00127BAB" w:rsidRPr="008738F9">
                    <w:rPr>
                      <w:rFonts w:ascii="ＭＳ 明朝" w:hAnsi="ＭＳ 明朝" w:cs="ＭＳ 明朝" w:hint="eastAsia"/>
                      <w:spacing w:val="6"/>
                      <w:kern w:val="0"/>
                      <w:szCs w:val="21"/>
                    </w:rPr>
                    <w:t>検討会（会議体）にて、</w:t>
                  </w:r>
                  <w:r>
                    <w:rPr>
                      <w:rFonts w:ascii="ＭＳ 明朝" w:hAnsi="ＭＳ 明朝" w:cs="ＭＳ 明朝" w:hint="eastAsia"/>
                      <w:spacing w:val="6"/>
                      <w:kern w:val="0"/>
                      <w:szCs w:val="21"/>
                    </w:rPr>
                    <w:t>DXを含む新規投資について全社戦略・事業戦略に沿ったものにするため、プロジェクト検討会を</w:t>
                  </w:r>
                  <w:r w:rsidR="002802EC">
                    <w:rPr>
                      <w:rFonts w:ascii="ＭＳ 明朝" w:hAnsi="ＭＳ 明朝" w:cs="ＭＳ 明朝" w:hint="eastAsia"/>
                      <w:spacing w:val="6"/>
                      <w:kern w:val="0"/>
                      <w:szCs w:val="21"/>
                    </w:rPr>
                    <w:t>新設</w:t>
                  </w:r>
                  <w:r>
                    <w:rPr>
                      <w:rFonts w:ascii="ＭＳ 明朝" w:hAnsi="ＭＳ 明朝" w:cs="ＭＳ 明朝" w:hint="eastAsia"/>
                      <w:spacing w:val="6"/>
                      <w:kern w:val="0"/>
                      <w:szCs w:val="21"/>
                    </w:rPr>
                    <w:t>。システム</w:t>
                  </w:r>
                  <w:r w:rsidR="00127BAB">
                    <w:rPr>
                      <w:rFonts w:ascii="ＭＳ 明朝" w:hAnsi="ＭＳ 明朝" w:cs="ＭＳ 明朝" w:hint="eastAsia"/>
                      <w:spacing w:val="6"/>
                      <w:kern w:val="0"/>
                      <w:szCs w:val="21"/>
                    </w:rPr>
                    <w:t>部、</w:t>
                  </w:r>
                  <w:r>
                    <w:rPr>
                      <w:rFonts w:ascii="ＭＳ 明朝" w:hAnsi="ＭＳ 明朝" w:cs="ＭＳ 明朝" w:hint="eastAsia"/>
                      <w:spacing w:val="6"/>
                      <w:kern w:val="0"/>
                      <w:szCs w:val="21"/>
                    </w:rPr>
                    <w:t>事業部、経理部、経営企画部のメンバーから構成されるプロジェクト検討会における多角的な検討。創出効果、コスト、リスクについて、経営戦略の方向性も含めた検討。</w:t>
                  </w:r>
                  <w:r w:rsidR="00633711">
                    <w:rPr>
                      <w:rFonts w:ascii="ＭＳ 明朝" w:hAnsi="ＭＳ 明朝" w:cs="ＭＳ 明朝" w:hint="eastAsia"/>
                      <w:spacing w:val="6"/>
                      <w:kern w:val="0"/>
                      <w:szCs w:val="21"/>
                    </w:rPr>
                    <w:t>(202</w:t>
                  </w:r>
                  <w:r w:rsidR="00455198">
                    <w:rPr>
                      <w:rFonts w:ascii="ＭＳ 明朝" w:hAnsi="ＭＳ 明朝" w:cs="ＭＳ 明朝"/>
                      <w:spacing w:val="6"/>
                      <w:kern w:val="0"/>
                      <w:szCs w:val="21"/>
                    </w:rPr>
                    <w:t>2</w:t>
                  </w:r>
                  <w:r w:rsidR="00633711">
                    <w:rPr>
                      <w:rFonts w:ascii="ＭＳ 明朝" w:hAnsi="ＭＳ 明朝" w:cs="ＭＳ 明朝" w:hint="eastAsia"/>
                      <w:spacing w:val="6"/>
                      <w:kern w:val="0"/>
                      <w:szCs w:val="21"/>
                    </w:rPr>
                    <w:t>年1</w:t>
                  </w:r>
                  <w:r w:rsidR="00455198">
                    <w:rPr>
                      <w:rFonts w:ascii="ＭＳ 明朝" w:hAnsi="ＭＳ 明朝" w:cs="ＭＳ 明朝"/>
                      <w:spacing w:val="6"/>
                      <w:kern w:val="0"/>
                      <w:szCs w:val="21"/>
                    </w:rPr>
                    <w:t>2</w:t>
                  </w:r>
                  <w:r w:rsidR="00633711">
                    <w:rPr>
                      <w:rFonts w:ascii="ＭＳ 明朝" w:hAnsi="ＭＳ 明朝" w:cs="ＭＳ 明朝" w:hint="eastAsia"/>
                      <w:spacing w:val="6"/>
                      <w:kern w:val="0"/>
                      <w:szCs w:val="21"/>
                    </w:rPr>
                    <w:t>月)</w:t>
                  </w:r>
                </w:p>
                <w:p w:rsidR="00127BAB" w:rsidRDefault="00127BAB" w:rsidP="00127BA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戦略の推進に向けた人材確保・育成</w:t>
                  </w:r>
                </w:p>
                <w:p w:rsidR="00127BAB" w:rsidRDefault="00127BAB" w:rsidP="00127BAB">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C67FF8">
                    <w:rPr>
                      <w:rFonts w:ascii="ＭＳ 明朝" w:hAnsi="ＭＳ 明朝" w:cs="ＭＳ 明朝" w:hint="eastAsia"/>
                      <w:spacing w:val="6"/>
                      <w:kern w:val="0"/>
                      <w:szCs w:val="21"/>
                    </w:rPr>
                    <w:t>目指すDX推進人材として、以下のようなナレッジ・リテラシー・患者さま視点を持ち、既存ビジネスモデル変革、新規ビジネス創出、業務プロセスの変革・創造を実行できる人材を採用・育成</w:t>
                  </w:r>
                  <w:r w:rsidRPr="00F17ABF">
                    <w:rPr>
                      <w:rFonts w:ascii="ＭＳ 明朝" w:hAnsi="ＭＳ 明朝" w:cs="ＭＳ 明朝" w:hint="eastAsia"/>
                      <w:spacing w:val="6"/>
                      <w:kern w:val="0"/>
                      <w:szCs w:val="21"/>
                    </w:rPr>
                    <w:t>します。</w:t>
                  </w:r>
                </w:p>
                <w:p w:rsidR="00127BAB" w:rsidRDefault="00127BAB" w:rsidP="00127BAB">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ICTナレッジ＆リテラシー</w:t>
                  </w:r>
                </w:p>
                <w:p w:rsidR="00DB6798" w:rsidRDefault="00DB6798" w:rsidP="00EA39F5">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r w:rsidRPr="00DB6798">
                    <w:rPr>
                      <w:rFonts w:ascii="ＭＳ 明朝" w:hAnsi="ＭＳ 明朝" w:cs="ＭＳ 明朝" w:hint="eastAsia"/>
                      <w:spacing w:val="6"/>
                      <w:kern w:val="0"/>
                      <w:szCs w:val="21"/>
                    </w:rPr>
                    <w:t>ICTへの技術的理解やリテラシーを持ち、システム開発をマネジメントする</w:t>
                  </w:r>
                </w:p>
                <w:p w:rsidR="00127BAB" w:rsidRDefault="00127BAB" w:rsidP="00127BAB">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ビジネスナレッジ</w:t>
                  </w:r>
                </w:p>
                <w:p w:rsidR="00DB6798" w:rsidRDefault="00DB6798" w:rsidP="00DB6798">
                  <w:pPr>
                    <w:pStyle w:val="af"/>
                    <w:suppressAutoHyphens/>
                    <w:kinsoku w:val="0"/>
                    <w:overflowPunct w:val="0"/>
                    <w:adjustRightInd w:val="0"/>
                    <w:spacing w:afterLines="50" w:after="120" w:line="238" w:lineRule="exact"/>
                    <w:ind w:leftChars="0" w:left="665"/>
                    <w:jc w:val="left"/>
                    <w:textAlignment w:val="center"/>
                    <w:rPr>
                      <w:rFonts w:ascii="ＭＳ 明朝" w:hAnsi="ＭＳ 明朝" w:cs="ＭＳ 明朝"/>
                      <w:spacing w:val="6"/>
                      <w:kern w:val="0"/>
                      <w:szCs w:val="21"/>
                    </w:rPr>
                  </w:pPr>
                  <w:r w:rsidRPr="00DB6798">
                    <w:rPr>
                      <w:rFonts w:ascii="ＭＳ 明朝" w:hAnsi="ＭＳ 明朝" w:cs="ＭＳ 明朝" w:hint="eastAsia"/>
                      <w:spacing w:val="6"/>
                      <w:kern w:val="0"/>
                      <w:szCs w:val="21"/>
                    </w:rPr>
                    <w:t>経営の視点を持ち、医療の規制・制度を理解している</w:t>
                  </w:r>
                </w:p>
                <w:p w:rsidR="00127BAB" w:rsidRDefault="00127BAB" w:rsidP="00127BAB">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ペイシェント・パースペクティブ</w:t>
                  </w:r>
                </w:p>
                <w:p w:rsidR="00EA39F5" w:rsidRDefault="00EA39F5" w:rsidP="00EA39F5">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患者視点で業務プロセスを捉えなおす</w:t>
                  </w:r>
                </w:p>
                <w:p w:rsidR="00EA39F5" w:rsidRDefault="00EA39F5" w:rsidP="00EA39F5">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新規採用、社内公募、他部門からの登用などによりDX推進人材を採用・確保。</w:t>
                  </w: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同時に、多面的な視点を持つDX人材を育成するため、様々な研修や評価制度を整備。今後もDX推進人材の採用と育成の充実を図る。</w:t>
                  </w:r>
                </w:p>
                <w:p w:rsidR="00DB6798" w:rsidRDefault="00DB6798"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p>
                <w:p w:rsidR="00DB6798" w:rsidRDefault="00DB6798"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（補足）</w:t>
                  </w: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具体的な取り組みは以下に記載。</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①DXリテラシー人材育成</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社員全員を対象としたDXリテラシー教育を実施。累計30時間程度の動画視聴による学習を実施</w:t>
                  </w: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対象者：全社員</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②ITパスポート取得支援</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DXを中心として、ビジネススキルとの融合ができるようITパスポート取得を支援。支援対象者に対して、テキスト配布、過去問学習、取得費用の全額補助を行い、会社として取得を支援し、自部門の仕事への応用を検討</w:t>
                  </w: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対象者750名（手上げによる募集）</w:t>
                  </w:r>
                </w:p>
                <w:p w:rsidR="00EA39F5" w:rsidRP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③プログラミング人材育成</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sidRPr="00EA39F5">
                    <w:rPr>
                      <w:rFonts w:ascii="ＭＳ 明朝" w:hAnsi="ＭＳ 明朝" w:cs="ＭＳ 明朝" w:hint="eastAsia"/>
                      <w:spacing w:val="6"/>
                      <w:kern w:val="0"/>
                      <w:szCs w:val="21"/>
                    </w:rPr>
                    <w:t>プログラミング学習のEラーニングを提供し、将来のプログラミング人材育成を実施。段階的に初級、中級、上級と絞り込み、高度なプログらミグができる人材の育成を実施</w:t>
                  </w:r>
                </w:p>
                <w:p w:rsidR="00EA39F5" w:rsidRDefault="00EA39F5" w:rsidP="008E60F9">
                  <w:pPr>
                    <w:pStyle w:val="af"/>
                    <w:suppressAutoHyphens/>
                    <w:kinsoku w:val="0"/>
                    <w:overflowPunct w:val="0"/>
                    <w:adjustRightInd w:val="0"/>
                    <w:spacing w:afterLines="50" w:after="120" w:line="238" w:lineRule="exact"/>
                    <w:ind w:leftChars="312" w:left="66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対象者：約300名（手上げによる募集）</w:t>
                  </w:r>
                </w:p>
                <w:p w:rsidR="00EA39F5" w:rsidRDefault="00EA39F5" w:rsidP="00EA39F5">
                  <w:pPr>
                    <w:pStyle w:val="af"/>
                    <w:suppressAutoHyphens/>
                    <w:kinsoku w:val="0"/>
                    <w:overflowPunct w:val="0"/>
                    <w:adjustRightInd w:val="0"/>
                    <w:spacing w:afterLines="50" w:after="120" w:line="238" w:lineRule="exact"/>
                    <w:ind w:leftChars="0" w:left="702"/>
                    <w:jc w:val="left"/>
                    <w:textAlignment w:val="center"/>
                    <w:rPr>
                      <w:rFonts w:ascii="ＭＳ 明朝" w:hAnsi="ＭＳ 明朝" w:cs="ＭＳ 明朝"/>
                      <w:spacing w:val="6"/>
                      <w:kern w:val="0"/>
                      <w:szCs w:val="21"/>
                    </w:rPr>
                  </w:pPr>
                </w:p>
                <w:p w:rsidR="00127BAB" w:rsidRDefault="00127BAB" w:rsidP="00127BA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戦略の推進に向けた外部組織との関係構築・協業</w:t>
                  </w:r>
                </w:p>
                <w:p w:rsidR="00D1302E" w:rsidRPr="00DD56DC" w:rsidRDefault="00127BAB" w:rsidP="008E60F9">
                  <w:pPr>
                    <w:suppressAutoHyphens/>
                    <w:kinsoku w:val="0"/>
                    <w:overflowPunct w:val="0"/>
                    <w:adjustRightInd w:val="0"/>
                    <w:spacing w:afterLines="50" w:after="120" w:line="238" w:lineRule="exact"/>
                    <w:ind w:leftChars="180" w:left="385"/>
                    <w:jc w:val="left"/>
                    <w:textAlignment w:val="center"/>
                    <w:rPr>
                      <w:rFonts w:ascii="ＭＳ 明朝" w:eastAsia="ＭＳ 明朝" w:hAnsi="ＭＳ 明朝" w:cs="ＭＳ 明朝"/>
                      <w:spacing w:val="6"/>
                      <w:kern w:val="0"/>
                      <w:szCs w:val="21"/>
                    </w:rPr>
                  </w:pPr>
                  <w:r w:rsidRPr="006D7C7B">
                    <w:rPr>
                      <w:rFonts w:ascii="ＭＳ 明朝" w:hAnsi="ＭＳ 明朝" w:cs="ＭＳ 明朝" w:hint="eastAsia"/>
                      <w:spacing w:val="6"/>
                      <w:kern w:val="0"/>
                      <w:szCs w:val="21"/>
                    </w:rPr>
                    <w:t>社外パートナーとの戦略的な連携を実施</w:t>
                  </w:r>
                  <w:r>
                    <w:rPr>
                      <w:rFonts w:ascii="ＭＳ 明朝" w:hAnsi="ＭＳ 明朝" w:cs="ＭＳ 明朝" w:hint="eastAsia"/>
                      <w:spacing w:val="6"/>
                      <w:kern w:val="0"/>
                      <w:szCs w:val="21"/>
                    </w:rPr>
                    <w:t>します。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127BAB" w:rsidRDefault="00127BAB" w:rsidP="00127BA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127BAB" w:rsidP="0012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D86">
                    <w:rPr>
                      <w:rFonts w:ascii="ＭＳ 明朝" w:eastAsia="ＭＳ 明朝" w:hAnsi="ＭＳ 明朝" w:cs="ＭＳ 明朝" w:hint="eastAsia"/>
                      <w:spacing w:val="6"/>
                      <w:kern w:val="0"/>
                      <w:szCs w:val="21"/>
                    </w:rPr>
                    <w:t>記載箇所：DX推進基盤：IT環境（p</w:t>
                  </w:r>
                  <w:r w:rsidRPr="00543D86">
                    <w:rPr>
                      <w:rFonts w:ascii="ＭＳ 明朝" w:eastAsia="ＭＳ 明朝" w:hAnsi="ＭＳ 明朝" w:cs="ＭＳ 明朝"/>
                      <w:spacing w:val="6"/>
                      <w:kern w:val="0"/>
                      <w:szCs w:val="21"/>
                    </w:rPr>
                    <w:t>.12</w:t>
                  </w:r>
                  <w:r w:rsidRPr="00543D86">
                    <w:rPr>
                      <w:rFonts w:ascii="ＭＳ 明朝" w:eastAsia="ＭＳ 明朝" w:hAnsi="ＭＳ 明朝" w:cs="ＭＳ 明朝" w:hint="eastAsia"/>
                      <w:spacing w:val="6"/>
                      <w:kern w:val="0"/>
                      <w:szCs w:val="21"/>
                    </w:rPr>
                    <w:t>）</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127BAB" w:rsidRDefault="00127BAB" w:rsidP="00127BAB">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D0CDE">
                    <w:rPr>
                      <w:rFonts w:ascii="ＭＳ 明朝" w:hAnsi="ＭＳ 明朝" w:cs="ＭＳ 明朝" w:hint="eastAsia"/>
                      <w:spacing w:val="6"/>
                      <w:kern w:val="0"/>
                      <w:szCs w:val="21"/>
                    </w:rPr>
                    <w:t>DX戦略を進めるためのITシステム・デジタル技術活用環境の整備に向けた方策例</w:t>
                  </w:r>
                </w:p>
                <w:p w:rsidR="00D1302E" w:rsidRPr="00DD56DC" w:rsidRDefault="00127BAB" w:rsidP="008E60F9">
                  <w:pPr>
                    <w:suppressAutoHyphens/>
                    <w:kinsoku w:val="0"/>
                    <w:overflowPunct w:val="0"/>
                    <w:adjustRightInd w:val="0"/>
                    <w:spacing w:afterLines="50" w:after="120" w:line="238" w:lineRule="exact"/>
                    <w:ind w:leftChars="195" w:left="417"/>
                    <w:jc w:val="left"/>
                    <w:textAlignment w:val="center"/>
                    <w:rPr>
                      <w:rFonts w:ascii="ＭＳ 明朝" w:eastAsia="ＭＳ 明朝" w:hAnsi="ＭＳ 明朝" w:cs="ＭＳ 明朝"/>
                      <w:spacing w:val="6"/>
                      <w:kern w:val="0"/>
                      <w:szCs w:val="21"/>
                    </w:rPr>
                  </w:pPr>
                  <w:r w:rsidRPr="00C67FF8">
                    <w:rPr>
                      <w:rFonts w:ascii="ＭＳ 明朝" w:hAnsi="ＭＳ 明朝" w:cs="ＭＳ 明朝" w:hint="eastAsia"/>
                      <w:spacing w:val="6"/>
                      <w:kern w:val="0"/>
                      <w:szCs w:val="21"/>
                    </w:rPr>
                    <w:t>薬局から得られる各種データや様々な医薬品情報ソースより得られるデータを一元化し分析、評価</w:t>
                  </w:r>
                  <w:r>
                    <w:rPr>
                      <w:rFonts w:ascii="ＭＳ 明朝" w:hAnsi="ＭＳ 明朝" w:cs="ＭＳ 明朝" w:hint="eastAsia"/>
                      <w:spacing w:val="6"/>
                      <w:kern w:val="0"/>
                      <w:szCs w:val="21"/>
                    </w:rPr>
                    <w:t>します</w:t>
                  </w:r>
                  <w:r w:rsidRPr="00C67FF8">
                    <w:rPr>
                      <w:rFonts w:ascii="ＭＳ 明朝" w:hAnsi="ＭＳ 明朝" w:cs="ＭＳ 明朝" w:hint="eastAsia"/>
                      <w:spacing w:val="6"/>
                      <w:kern w:val="0"/>
                      <w:szCs w:val="21"/>
                    </w:rPr>
                    <w:t>。これらの総合データベースを活用し、デジタルプラットフォームを介してステークホルダーへ新たな価値を創出</w:t>
                  </w:r>
                  <w:r>
                    <w:rPr>
                      <w:rFonts w:ascii="ＭＳ 明朝" w:hAnsi="ＭＳ 明朝" w:cs="ＭＳ 明朝" w:hint="eastAsia"/>
                      <w:spacing w:val="6"/>
                      <w:kern w:val="0"/>
                      <w:szCs w:val="21"/>
                    </w:rPr>
                    <w:t>します</w:t>
                  </w:r>
                  <w:r w:rsidRPr="00BA3D0F">
                    <w:rPr>
                      <w:rFonts w:ascii="ＭＳ 明朝" w:hAnsi="ＭＳ 明朝" w:cs="ＭＳ 明朝" w:hint="eastAsia"/>
                      <w:spacing w:val="6"/>
                      <w:kern w:val="0"/>
                      <w:szCs w:val="21"/>
                    </w:rPr>
                    <w:t>。</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D6811" w:rsidRPr="005F13F6"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5B734F">
                    <w:rPr>
                      <w:rFonts w:ascii="ＭＳ 明朝" w:eastAsia="ＭＳ 明朝" w:hAnsi="ＭＳ 明朝" w:cs="ＭＳ 明朝" w:hint="eastAsia"/>
                      <w:spacing w:val="6"/>
                      <w:kern w:val="0"/>
                      <w:szCs w:val="21"/>
                    </w:rPr>
                    <w:t>2023</w:t>
                  </w:r>
                  <w:r w:rsidR="00FD6811">
                    <w:rPr>
                      <w:rFonts w:ascii="ＭＳ 明朝" w:eastAsia="ＭＳ 明朝" w:hAnsi="ＭＳ 明朝" w:cs="ＭＳ 明朝" w:hint="eastAsia"/>
                      <w:spacing w:val="6"/>
                      <w:kern w:val="0"/>
                      <w:szCs w:val="21"/>
                    </w:rPr>
                    <w:t xml:space="preserve">年　</w:t>
                  </w:r>
                  <w:r w:rsidR="005B734F">
                    <w:rPr>
                      <w:rFonts w:ascii="ＭＳ 明朝" w:eastAsia="ＭＳ 明朝" w:hAnsi="ＭＳ 明朝" w:cs="ＭＳ 明朝" w:hint="eastAsia"/>
                      <w:spacing w:val="6"/>
                      <w:kern w:val="0"/>
                      <w:szCs w:val="21"/>
                    </w:rPr>
                    <w:t>9</w:t>
                  </w:r>
                  <w:r w:rsidR="00FD6811">
                    <w:rPr>
                      <w:rFonts w:ascii="ＭＳ 明朝" w:eastAsia="ＭＳ 明朝" w:hAnsi="ＭＳ 明朝" w:cs="ＭＳ 明朝" w:hint="eastAsia"/>
                      <w:spacing w:val="6"/>
                      <w:kern w:val="0"/>
                      <w:szCs w:val="21"/>
                    </w:rPr>
                    <w:t xml:space="preserve">月　</w:t>
                  </w:r>
                  <w:r w:rsidR="005B734F">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日</w:t>
                  </w:r>
                  <w:r w:rsidR="005B734F">
                    <w:rPr>
                      <w:rFonts w:ascii="ＭＳ 明朝" w:eastAsia="ＭＳ 明朝" w:hAnsi="ＭＳ 明朝" w:cs="ＭＳ 明朝" w:hint="eastAsia"/>
                      <w:spacing w:val="6"/>
                      <w:kern w:val="0"/>
                      <w:szCs w:val="21"/>
                    </w:rPr>
                    <w:t>（更新）</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D6811" w:rsidRPr="005F13F6"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3F6">
                    <w:rPr>
                      <w:rFonts w:ascii="ＭＳ 明朝" w:eastAsia="ＭＳ 明朝" w:hAnsi="ＭＳ 明朝" w:cs="ＭＳ 明朝" w:hint="eastAsia"/>
                      <w:spacing w:val="6"/>
                      <w:kern w:val="0"/>
                      <w:szCs w:val="21"/>
                    </w:rPr>
                    <w:t>「デジタルトランスフォーメーション戦略」</w:t>
                  </w:r>
                </w:p>
                <w:p w:rsidR="00FD6811" w:rsidRPr="00543D86"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D86">
                    <w:rPr>
                      <w:rFonts w:ascii="ＭＳ 明朝" w:eastAsia="ＭＳ 明朝" w:hAnsi="ＭＳ 明朝" w:cs="ＭＳ 明朝" w:hint="eastAsia"/>
                      <w:spacing w:val="6"/>
                      <w:kern w:val="0"/>
                      <w:szCs w:val="21"/>
                    </w:rPr>
                    <w:t>当社ホームページ上で公表</w:t>
                  </w:r>
                </w:p>
                <w:p w:rsidR="00FD6811" w:rsidRDefault="00AD294D"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0" w:history="1">
                    <w:r w:rsidR="00FD6811" w:rsidRPr="00746B01">
                      <w:rPr>
                        <w:rStyle w:val="af0"/>
                        <w:rFonts w:ascii="ＭＳ 明朝" w:eastAsia="ＭＳ 明朝" w:hAnsi="ＭＳ 明朝" w:cs="ＭＳ 明朝"/>
                        <w:spacing w:val="6"/>
                        <w:kern w:val="0"/>
                        <w:szCs w:val="21"/>
                      </w:rPr>
                      <w:t>https://www.nicho.co.jp/corporate/ir/management/dx/main/00/teaserItems1/00/linkList/0/link/NihonChouzai_DX.pdf</w:t>
                    </w:r>
                  </w:hyperlink>
                </w:p>
                <w:p w:rsidR="00FD6811" w:rsidRPr="00FB2F29"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rsidR="00D1302E" w:rsidRPr="00DD56DC"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D86">
                    <w:rPr>
                      <w:rFonts w:ascii="ＭＳ 明朝" w:eastAsia="ＭＳ 明朝" w:hAnsi="ＭＳ 明朝" w:cs="ＭＳ 明朝" w:hint="eastAsia"/>
                      <w:spacing w:val="6"/>
                      <w:kern w:val="0"/>
                      <w:szCs w:val="21"/>
                    </w:rPr>
                    <w:t>記載箇所：各DX戦略</w:t>
                  </w:r>
                  <w:r>
                    <w:rPr>
                      <w:rFonts w:ascii="ＭＳ 明朝" w:eastAsia="ＭＳ 明朝" w:hAnsi="ＭＳ 明朝" w:cs="ＭＳ 明朝" w:hint="eastAsia"/>
                      <w:spacing w:val="6"/>
                      <w:kern w:val="0"/>
                      <w:szCs w:val="21"/>
                    </w:rPr>
                    <w:t>実現</w:t>
                  </w:r>
                  <w:r w:rsidRPr="00543D86">
                    <w:rPr>
                      <w:rFonts w:ascii="ＭＳ 明朝" w:eastAsia="ＭＳ 明朝" w:hAnsi="ＭＳ 明朝" w:cs="ＭＳ 明朝" w:hint="eastAsia"/>
                      <w:spacing w:val="6"/>
                      <w:kern w:val="0"/>
                      <w:szCs w:val="21"/>
                    </w:rPr>
                    <w:t>による価値提供（p</w:t>
                  </w:r>
                  <w:r w:rsidRPr="00543D86">
                    <w:rPr>
                      <w:rFonts w:ascii="ＭＳ 明朝" w:eastAsia="ＭＳ 明朝" w:hAnsi="ＭＳ 明朝" w:cs="ＭＳ 明朝"/>
                      <w:spacing w:val="6"/>
                      <w:kern w:val="0"/>
                      <w:szCs w:val="21"/>
                    </w:rPr>
                    <w:t>.</w:t>
                  </w:r>
                  <w:r w:rsidRPr="00543D86">
                    <w:rPr>
                      <w:rFonts w:ascii="ＭＳ 明朝" w:eastAsia="ＭＳ 明朝" w:hAnsi="ＭＳ 明朝" w:cs="ＭＳ 明朝" w:hint="eastAsia"/>
                      <w:spacing w:val="6"/>
                      <w:kern w:val="0"/>
                      <w:szCs w:val="21"/>
                    </w:rPr>
                    <w:t>6）</w:t>
                  </w: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FD6811" w:rsidRPr="005F13F6" w:rsidRDefault="00FD6811" w:rsidP="00FD6811">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戦略実施により生じた効果を評価する指標例（</w:t>
                  </w:r>
                  <w:r w:rsidRPr="005F13F6">
                    <w:rPr>
                      <w:rFonts w:ascii="ＭＳ 明朝" w:hAnsi="ＭＳ 明朝" w:cs="ＭＳ 明朝"/>
                      <w:spacing w:val="6"/>
                      <w:kern w:val="0"/>
                      <w:szCs w:val="21"/>
                    </w:rPr>
                    <w:t>KGI）</w:t>
                  </w:r>
                </w:p>
                <w:p w:rsidR="00FD6811" w:rsidRPr="005F13F6"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既存店の処方箋枚数増加率</w:t>
                  </w:r>
                </w:p>
                <w:p w:rsidR="00FD6811" w:rsidRPr="005F13F6"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w:t>
                  </w:r>
                  <w:r w:rsidRPr="005F13F6">
                    <w:rPr>
                      <w:rFonts w:ascii="ＭＳ 明朝" w:hAnsi="ＭＳ 明朝" w:cs="ＭＳ 明朝"/>
                      <w:spacing w:val="6"/>
                      <w:kern w:val="0"/>
                      <w:szCs w:val="21"/>
                    </w:rPr>
                    <w:t>FINDAT</w:t>
                  </w:r>
                  <w:r w:rsidR="00213D6F">
                    <w:rPr>
                      <w:rFonts w:ascii="ＭＳ 明朝" w:hAnsi="ＭＳ 明朝" w:cs="ＭＳ 明朝" w:hint="eastAsia"/>
                      <w:spacing w:val="6"/>
                      <w:kern w:val="0"/>
                      <w:szCs w:val="21"/>
                    </w:rPr>
                    <w:t>」の導入件数</w:t>
                  </w:r>
                </w:p>
                <w:p w:rsidR="00FD6811" w:rsidRPr="005F13F6" w:rsidRDefault="00213D6F"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調剤ロボット導入による</w:t>
                  </w:r>
                  <w:r w:rsidR="00FD6811" w:rsidRPr="005F13F6">
                    <w:rPr>
                      <w:rFonts w:ascii="ＭＳ 明朝" w:hAnsi="ＭＳ 明朝" w:cs="ＭＳ 明朝" w:hint="eastAsia"/>
                      <w:spacing w:val="6"/>
                      <w:kern w:val="0"/>
                      <w:szCs w:val="21"/>
                    </w:rPr>
                    <w:t>業務削減</w:t>
                  </w:r>
                  <w:r>
                    <w:rPr>
                      <w:rFonts w:ascii="ＭＳ 明朝" w:hAnsi="ＭＳ 明朝" w:cs="ＭＳ 明朝" w:hint="eastAsia"/>
                      <w:spacing w:val="6"/>
                      <w:kern w:val="0"/>
                      <w:szCs w:val="21"/>
                    </w:rPr>
                    <w:t>時間</w:t>
                  </w:r>
                </w:p>
                <w:p w:rsidR="00FD6811" w:rsidRPr="005F13F6" w:rsidRDefault="00FD6811" w:rsidP="00FD6811">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戦略の計画に対する進捗を評価する指標例（</w:t>
                  </w:r>
                  <w:r w:rsidRPr="005F13F6">
                    <w:rPr>
                      <w:rFonts w:ascii="ＭＳ 明朝" w:hAnsi="ＭＳ 明朝" w:cs="ＭＳ 明朝"/>
                      <w:spacing w:val="6"/>
                      <w:kern w:val="0"/>
                      <w:szCs w:val="21"/>
                    </w:rPr>
                    <w:t>KPI）</w:t>
                  </w:r>
                </w:p>
                <w:p w:rsidR="00FD6811"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お薬手帳プラス会員数</w:t>
                  </w:r>
                </w:p>
                <w:p w:rsidR="00553E84" w:rsidRPr="005F13F6" w:rsidRDefault="00553E84"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マイナ保険証利用率</w:t>
                  </w:r>
                </w:p>
                <w:p w:rsidR="00FD6811" w:rsidRPr="005F13F6"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日本調剤オンライン薬局サービス</w:t>
                  </w:r>
                  <w:r w:rsidR="00553E84">
                    <w:rPr>
                      <w:rFonts w:ascii="ＭＳ 明朝" w:hAnsi="ＭＳ 明朝" w:cs="ＭＳ 明朝" w:hint="eastAsia"/>
                      <w:spacing w:val="6"/>
                      <w:kern w:val="0"/>
                      <w:szCs w:val="21"/>
                    </w:rPr>
                    <w:t>「NiCOMS」</w:t>
                  </w:r>
                  <w:r w:rsidRPr="005F13F6">
                    <w:rPr>
                      <w:rFonts w:ascii="ＭＳ 明朝" w:hAnsi="ＭＳ 明朝" w:cs="ＭＳ 明朝" w:hint="eastAsia"/>
                      <w:spacing w:val="6"/>
                      <w:kern w:val="0"/>
                      <w:szCs w:val="21"/>
                    </w:rPr>
                    <w:t>の導入店舗数</w:t>
                  </w:r>
                </w:p>
                <w:p w:rsidR="00553E84"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F13F6">
                    <w:rPr>
                      <w:rFonts w:ascii="ＭＳ 明朝" w:hAnsi="ＭＳ 明朝" w:cs="ＭＳ 明朝" w:hint="eastAsia"/>
                      <w:spacing w:val="6"/>
                      <w:kern w:val="0"/>
                      <w:szCs w:val="21"/>
                    </w:rPr>
                    <w:t>提案件数割合（対象病院に対する医薬品情報プラットフォーム「</w:t>
                  </w:r>
                  <w:r w:rsidRPr="005F13F6">
                    <w:rPr>
                      <w:rFonts w:ascii="ＭＳ 明朝" w:hAnsi="ＭＳ 明朝" w:cs="ＭＳ 明朝"/>
                      <w:spacing w:val="6"/>
                      <w:kern w:val="0"/>
                      <w:szCs w:val="21"/>
                    </w:rPr>
                    <w:t>FINDAT」の</w:t>
                  </w:r>
                  <w:r w:rsidRPr="005F13F6">
                    <w:rPr>
                      <w:rFonts w:ascii="ＭＳ 明朝" w:hAnsi="ＭＳ 明朝" w:cs="ＭＳ 明朝" w:hint="eastAsia"/>
                      <w:spacing w:val="6"/>
                      <w:kern w:val="0"/>
                      <w:szCs w:val="21"/>
                    </w:rPr>
                    <w:t>提案件数</w:t>
                  </w:r>
                  <w:r>
                    <w:rPr>
                      <w:rFonts w:ascii="ＭＳ 明朝" w:hAnsi="ＭＳ 明朝" w:cs="ＭＳ 明朝" w:hint="eastAsia"/>
                      <w:spacing w:val="6"/>
                      <w:kern w:val="0"/>
                      <w:szCs w:val="21"/>
                    </w:rPr>
                    <w:t>の割合</w:t>
                  </w:r>
                  <w:r w:rsidRPr="005F13F6">
                    <w:rPr>
                      <w:rFonts w:ascii="ＭＳ 明朝" w:hAnsi="ＭＳ 明朝" w:cs="ＭＳ 明朝" w:hint="eastAsia"/>
                      <w:spacing w:val="6"/>
                      <w:kern w:val="0"/>
                      <w:szCs w:val="21"/>
                    </w:rPr>
                    <w:t>）</w:t>
                  </w:r>
                </w:p>
                <w:p w:rsidR="00D1302E" w:rsidRPr="00553E84" w:rsidRDefault="00FD6811" w:rsidP="00FD6811">
                  <w:pPr>
                    <w:pStyle w:val="af"/>
                    <w:numPr>
                      <w:ilvl w:val="1"/>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53E84">
                    <w:rPr>
                      <w:rFonts w:ascii="ＭＳ 明朝" w:hAnsi="ＭＳ 明朝" w:cs="ＭＳ 明朝" w:hint="eastAsia"/>
                      <w:spacing w:val="6"/>
                      <w:kern w:val="0"/>
                      <w:szCs w:val="21"/>
                    </w:rPr>
                    <w:t>調剤ロボット導入店舗数</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553E84" w:rsidRPr="00DD56DC" w:rsidRDefault="00FD6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53E84">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 xml:space="preserve">年　</w:t>
                  </w:r>
                  <w:r w:rsidR="00553E84">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 xml:space="preserve">月　</w:t>
                  </w:r>
                  <w:r w:rsidR="00553E84">
                    <w:rPr>
                      <w:rFonts w:ascii="ＭＳ 明朝" w:eastAsia="ＭＳ 明朝" w:hAnsi="ＭＳ 明朝" w:cs="ＭＳ 明朝" w:hint="eastAsia"/>
                      <w:spacing w:val="6"/>
                      <w:kern w:val="0"/>
                      <w:szCs w:val="21"/>
                    </w:rPr>
                    <w:t>19</w:t>
                  </w:r>
                  <w:r w:rsidR="00D1302E" w:rsidRPr="00DD56DC">
                    <w:rPr>
                      <w:rFonts w:ascii="ＭＳ 明朝" w:eastAsia="ＭＳ 明朝" w:hAnsi="ＭＳ 明朝" w:cs="ＭＳ 明朝" w:hint="eastAsia"/>
                      <w:spacing w:val="6"/>
                      <w:kern w:val="0"/>
                      <w:szCs w:val="21"/>
                    </w:rPr>
                    <w:t>日</w:t>
                  </w:r>
                  <w:r w:rsidR="00553E84">
                    <w:rPr>
                      <w:rFonts w:ascii="ＭＳ 明朝" w:eastAsia="ＭＳ 明朝" w:hAnsi="ＭＳ 明朝" w:cs="ＭＳ 明朝" w:hint="eastAsia"/>
                      <w:spacing w:val="6"/>
                      <w:kern w:val="0"/>
                      <w:szCs w:val="21"/>
                    </w:rPr>
                    <w:t>（更新）</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FD6811" w:rsidRDefault="00FD6811" w:rsidP="00FD6811">
                  <w:pPr>
                    <w:suppressAutoHyphens/>
                    <w:kinsoku w:val="0"/>
                    <w:overflowPunct w:val="0"/>
                    <w:adjustRightInd w:val="0"/>
                    <w:spacing w:afterLines="50" w:after="120" w:line="240" w:lineRule="auto"/>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当社ホームページ上で発信</w:t>
                  </w:r>
                </w:p>
                <w:p w:rsidR="00D1302E" w:rsidRPr="00DD56DC"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トップメッセージ</w:t>
                  </w:r>
                  <w:hyperlink r:id="rId11" w:history="1">
                    <w:r w:rsidRPr="00670787">
                      <w:rPr>
                        <w:rStyle w:val="af0"/>
                        <w:rFonts w:ascii="ＭＳ 明朝" w:hAnsi="ＭＳ 明朝"/>
                        <w:sz w:val="22"/>
                        <w:szCs w:val="22"/>
                      </w:rPr>
                      <w:t>https://www.nicho.co.jp/corporate/ir/management/dx.html</w:t>
                    </w:r>
                  </w:hyperlink>
                </w:p>
              </w:tc>
            </w:tr>
            <w:tr w:rsidR="00D1302E" w:rsidRPr="00DD56DC" w:rsidTr="00DD56DC">
              <w:trPr>
                <w:trHeight w:val="697"/>
              </w:trPr>
              <w:tc>
                <w:tcPr>
                  <w:tcW w:w="2600" w:type="dxa"/>
                  <w:shd w:val="clear" w:color="auto" w:fill="auto"/>
                  <w:vAlign w:val="center"/>
                </w:tcPr>
                <w:p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FD6811" w:rsidRDefault="00FD6811" w:rsidP="00FD6811">
                  <w:pPr>
                    <w:pStyle w:val="af"/>
                    <w:numPr>
                      <w:ilvl w:val="0"/>
                      <w:numId w:val="12"/>
                    </w:numPr>
                    <w:suppressAutoHyphens/>
                    <w:kinsoku w:val="0"/>
                    <w:overflowPunct w:val="0"/>
                    <w:adjustRightInd w:val="0"/>
                    <w:spacing w:afterLines="50" w:after="120"/>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代表取締役社長による情報発信</w:t>
                  </w:r>
                </w:p>
                <w:p w:rsidR="00DE0DF8" w:rsidRDefault="00553E84" w:rsidP="00553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E84">
                    <w:rPr>
                      <w:rFonts w:ascii="ＭＳ 明朝" w:eastAsia="ＭＳ 明朝" w:hAnsi="ＭＳ 明朝" w:cs="ＭＳ 明朝" w:hint="eastAsia"/>
                      <w:spacing w:val="6"/>
                      <w:kern w:val="0"/>
                      <w:szCs w:val="21"/>
                    </w:rPr>
                    <w:t>当社は、日本調剤グループが目指す2030年の姿として「長期ビジョン～2030年に向けて～」を策定しており、大きな環境変化を乗り越え、さらなる飛躍を可能とする強固な経営基盤の構築を進めています。調剤薬局事業においては、ICT戦略を成長の重要な要素として捉え、調剤業務を支える基幹システムである「調剤システム」や電子お薬手帳「お薬手帳プラス」を自社開発するなど、長期間にわたりICT投資を実施してまいりました。2020年9月には、オンライン服薬指導システムである日本調剤オンライン薬局サービス 「NiCOMS」を開発し運用を開始しています。</w:t>
                  </w:r>
                </w:p>
                <w:p w:rsidR="00553E84" w:rsidRPr="00553E84" w:rsidRDefault="00553E84" w:rsidP="00553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E84">
                    <w:rPr>
                      <w:rFonts w:ascii="ＭＳ 明朝" w:eastAsia="ＭＳ 明朝" w:hAnsi="ＭＳ 明朝" w:cs="ＭＳ 明朝" w:hint="eastAsia"/>
                      <w:spacing w:val="6"/>
                      <w:kern w:val="0"/>
                      <w:szCs w:val="21"/>
                    </w:rPr>
                    <w:t>昨今のデジタル化による事業環境の変化が進みつつある中、新型コロナウイルス感染症の拡大、人口減少社会に伴う労働力不足など、多くの社会課題解決に向けて、医療分野におけるデジタル化が急速に進みつつあります。こうした状況の中、既存業務のデジタル化のみならず、デジタルの力によってビジネスモデルそのものを変革し、より強靭な経営基盤を構築していくデジタルトランスフォーメーションに対する取り組みは、企業経営において重要であると捉えています。</w:t>
                  </w:r>
                </w:p>
                <w:p w:rsidR="00DE0DF8" w:rsidRDefault="00553E84" w:rsidP="00553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E84">
                    <w:rPr>
                      <w:rFonts w:ascii="ＭＳ 明朝" w:eastAsia="ＭＳ 明朝" w:hAnsi="ＭＳ 明朝" w:cs="ＭＳ 明朝" w:hint="eastAsia"/>
                      <w:spacing w:val="6"/>
                      <w:kern w:val="0"/>
                      <w:szCs w:val="21"/>
                    </w:rPr>
                    <w:t>医療分野においては、オンライン服薬指導の普及促進、マイナンバーカードを保険証として利用できるオンライン資格確認の導入、電子処方箋の開始など、デジタルトランスフォーメーションの推進に向けた様々な施策が進められています。</w:t>
                  </w:r>
                </w:p>
                <w:p w:rsidR="00D1302E" w:rsidRPr="00DD56DC" w:rsidRDefault="00553E84" w:rsidP="00553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E84">
                    <w:rPr>
                      <w:rFonts w:ascii="ＭＳ 明朝" w:eastAsia="ＭＳ 明朝" w:hAnsi="ＭＳ 明朝" w:cs="ＭＳ 明朝" w:hint="eastAsia"/>
                      <w:spacing w:val="6"/>
                      <w:kern w:val="0"/>
                      <w:szCs w:val="21"/>
                    </w:rPr>
                    <w:t xml:space="preserve">当社では、急速に進む医療分野におけるデジタルトランスフォーメーションに先行して取り組むとともに、企業の持続的な成長と、医療の枠を超えた新たな価値創出を実現していくため、デジタルトランスフォーメーション戦略（DX戦略）を策定し、これに沿って取り組みを進めています。　</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DD56DC" w:rsidRDefault="00FD6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E41ED">
                    <w:rPr>
                      <w:rFonts w:ascii="ＭＳ 明朝" w:eastAsia="ＭＳ 明朝" w:hAnsi="ＭＳ 明朝" w:cs="ＭＳ 明朝" w:hint="eastAsia"/>
                      <w:spacing w:val="6"/>
                      <w:kern w:val="0"/>
                      <w:szCs w:val="21"/>
                    </w:rPr>
                    <w:t>2021</w:t>
                  </w:r>
                  <w:r>
                    <w:rPr>
                      <w:rFonts w:ascii="ＭＳ 明朝" w:eastAsia="ＭＳ 明朝" w:hAnsi="ＭＳ 明朝" w:cs="ＭＳ 明朝" w:hint="eastAsia"/>
                      <w:spacing w:val="6"/>
                      <w:kern w:val="0"/>
                      <w:szCs w:val="21"/>
                    </w:rPr>
                    <w:t xml:space="preserve">年　</w:t>
                  </w:r>
                  <w:r w:rsidR="007E41ED">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月頃　～　　</w:t>
                  </w:r>
                  <w:r w:rsidR="009B6276">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 xml:space="preserve">年　</w:t>
                  </w:r>
                  <w:r w:rsidR="009B6276">
                    <w:rPr>
                      <w:rFonts w:ascii="ＭＳ 明朝" w:eastAsia="ＭＳ 明朝" w:hAnsi="ＭＳ 明朝" w:cs="ＭＳ 明朝" w:hint="eastAsia"/>
                      <w:spacing w:val="6"/>
                      <w:kern w:val="0"/>
                      <w:szCs w:val="21"/>
                    </w:rPr>
                    <w:t>9</w:t>
                  </w:r>
                  <w:r w:rsidR="00D1302E" w:rsidRPr="00DD56DC">
                    <w:rPr>
                      <w:rFonts w:ascii="ＭＳ 明朝" w:eastAsia="ＭＳ 明朝" w:hAnsi="ＭＳ 明朝" w:cs="ＭＳ 明朝" w:hint="eastAsia"/>
                      <w:spacing w:val="6"/>
                      <w:kern w:val="0"/>
                      <w:szCs w:val="21"/>
                    </w:rPr>
                    <w:t>月頃</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D6811" w:rsidRDefault="00FD6811" w:rsidP="00FD681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1062C">
                    <w:rPr>
                      <w:rFonts w:ascii="ＭＳ 明朝" w:hAnsi="ＭＳ 明朝" w:cs="ＭＳ 明朝" w:hint="eastAsia"/>
                      <w:spacing w:val="6"/>
                      <w:kern w:val="0"/>
                      <w:szCs w:val="21"/>
                    </w:rPr>
                    <w:t>推進指標による自己分析の実施</w:t>
                  </w:r>
                </w:p>
                <w:p w:rsidR="00D1302E" w:rsidRPr="00DD56DC" w:rsidRDefault="00FD6811" w:rsidP="00FD6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9AF">
                    <w:rPr>
                      <w:rFonts w:ascii="ＭＳ 明朝" w:hAnsi="ＭＳ 明朝" w:cs="ＭＳ 明朝" w:hint="eastAsia"/>
                      <w:spacing w:val="6"/>
                      <w:kern w:val="0"/>
                      <w:szCs w:val="21"/>
                    </w:rPr>
                    <w:t>「</w:t>
                  </w:r>
                  <w:r w:rsidRPr="00B319AF">
                    <w:rPr>
                      <w:rFonts w:ascii="ＭＳ 明朝" w:hAnsi="ＭＳ 明朝" w:cs="ＭＳ 明朝" w:hint="eastAsia"/>
                      <w:spacing w:val="6"/>
                      <w:kern w:val="0"/>
                      <w:szCs w:val="21"/>
                    </w:rPr>
                    <w:t>DX</w:t>
                  </w:r>
                  <w:r w:rsidRPr="00B319AF">
                    <w:rPr>
                      <w:rFonts w:ascii="ＭＳ 明朝" w:hAnsi="ＭＳ 明朝" w:cs="ＭＳ 明朝" w:hint="eastAsia"/>
                      <w:spacing w:val="6"/>
                      <w:kern w:val="0"/>
                      <w:szCs w:val="21"/>
                    </w:rPr>
                    <w:t>推進指標」による自己分析を行い、</w:t>
                  </w:r>
                  <w:r w:rsidRPr="00B319AF">
                    <w:rPr>
                      <w:rFonts w:ascii="ＭＳ 明朝" w:hAnsi="ＭＳ 明朝" w:cs="ＭＳ 明朝" w:hint="eastAsia"/>
                      <w:spacing w:val="6"/>
                      <w:kern w:val="0"/>
                      <w:szCs w:val="21"/>
                    </w:rPr>
                    <w:t>IPA</w:t>
                  </w:r>
                  <w:r w:rsidRPr="00B319AF">
                    <w:rPr>
                      <w:rFonts w:ascii="ＭＳ 明朝" w:hAnsi="ＭＳ 明朝" w:cs="ＭＳ 明朝" w:hint="eastAsia"/>
                      <w:spacing w:val="6"/>
                      <w:kern w:val="0"/>
                      <w:szCs w:val="21"/>
                    </w:rPr>
                    <w:t>の自己診断結果入力サイトより入力をしています。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rsidTr="00DD56DC">
              <w:trPr>
                <w:trHeight w:val="70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DD56DC" w:rsidRDefault="00FD6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2012年　4</w:t>
                  </w:r>
                  <w:r w:rsidR="00DB158A">
                    <w:rPr>
                      <w:rFonts w:ascii="ＭＳ 明朝" w:eastAsia="ＭＳ 明朝" w:hAnsi="ＭＳ 明朝" w:cs="ＭＳ 明朝" w:hint="eastAsia"/>
                      <w:spacing w:val="6"/>
                      <w:kern w:val="0"/>
                      <w:szCs w:val="21"/>
                    </w:rPr>
                    <w:t>月頃　～　2023年　9</w:t>
                  </w:r>
                  <w:r w:rsidR="00D1302E" w:rsidRPr="00DD56DC">
                    <w:rPr>
                      <w:rFonts w:ascii="ＭＳ 明朝" w:eastAsia="ＭＳ 明朝" w:hAnsi="ＭＳ 明朝" w:cs="ＭＳ 明朝" w:hint="eastAsia"/>
                      <w:spacing w:val="6"/>
                      <w:kern w:val="0"/>
                      <w:szCs w:val="21"/>
                    </w:rPr>
                    <w:t>月頃</w:t>
                  </w:r>
                </w:p>
                <w:p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rsidTr="00DD56DC">
              <w:trPr>
                <w:trHeight w:val="697"/>
              </w:trPr>
              <w:tc>
                <w:tcPr>
                  <w:tcW w:w="2600" w:type="dxa"/>
                  <w:shd w:val="clear" w:color="auto" w:fill="auto"/>
                  <w:vAlign w:val="center"/>
                </w:tcPr>
                <w:p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D6811" w:rsidRDefault="00FD6811" w:rsidP="00FD6811">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1062C">
                    <w:rPr>
                      <w:rFonts w:ascii="ＭＳ 明朝" w:hAnsi="ＭＳ 明朝" w:cs="ＭＳ 明朝" w:hint="eastAsia"/>
                      <w:spacing w:val="6"/>
                      <w:kern w:val="0"/>
                      <w:szCs w:val="21"/>
                    </w:rPr>
                    <w:t>ガイドラインに基づいた対策</w:t>
                  </w:r>
                </w:p>
                <w:p w:rsidR="00D1302E" w:rsidRDefault="00213D6F" w:rsidP="00FD681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13D6F">
                    <w:rPr>
                      <w:rFonts w:ascii="ＭＳ 明朝" w:hAnsi="ＭＳ 明朝" w:cs="ＭＳ 明朝" w:hint="eastAsia"/>
                      <w:spacing w:val="6"/>
                      <w:kern w:val="0"/>
                      <w:szCs w:val="21"/>
                    </w:rPr>
                    <w:t>情報セキュリティ委員会において情報セキュリティポリシーを規定し、</w:t>
                  </w:r>
                  <w:r w:rsidRPr="00213D6F">
                    <w:rPr>
                      <w:rFonts w:ascii="ＭＳ 明朝" w:hAnsi="ＭＳ 明朝" w:cs="ＭＳ 明朝" w:hint="eastAsia"/>
                      <w:spacing w:val="6"/>
                      <w:kern w:val="0"/>
                      <w:szCs w:val="21"/>
                    </w:rPr>
                    <w:t>DX</w:t>
                  </w:r>
                  <w:r w:rsidRPr="00213D6F">
                    <w:rPr>
                      <w:rFonts w:ascii="ＭＳ 明朝" w:hAnsi="ＭＳ 明朝" w:cs="ＭＳ 明朝" w:hint="eastAsia"/>
                      <w:spacing w:val="6"/>
                      <w:kern w:val="0"/>
                      <w:szCs w:val="21"/>
                    </w:rPr>
                    <w:t>施策においてもそれを遵守しています。また、情報管理統括責任者（</w:t>
                  </w:r>
                  <w:r w:rsidRPr="00213D6F">
                    <w:rPr>
                      <w:rFonts w:ascii="ＭＳ 明朝" w:hAnsi="ＭＳ 明朝" w:cs="ＭＳ 明朝" w:hint="eastAsia"/>
                      <w:spacing w:val="6"/>
                      <w:kern w:val="0"/>
                      <w:szCs w:val="21"/>
                    </w:rPr>
                    <w:t>CSO</w:t>
                  </w:r>
                  <w:r w:rsidRPr="00213D6F">
                    <w:rPr>
                      <w:rFonts w:ascii="ＭＳ 明朝" w:hAnsi="ＭＳ 明朝" w:cs="ＭＳ 明朝" w:hint="eastAsia"/>
                      <w:spacing w:val="6"/>
                      <w:kern w:val="0"/>
                      <w:szCs w:val="21"/>
                    </w:rPr>
                    <w:t>）のもと、原則として</w:t>
                  </w:r>
                  <w:r w:rsidRPr="00213D6F">
                    <w:rPr>
                      <w:rFonts w:ascii="ＭＳ 明朝" w:hAnsi="ＭＳ 明朝" w:cs="ＭＳ 明朝" w:hint="eastAsia"/>
                      <w:spacing w:val="6"/>
                      <w:kern w:val="0"/>
                      <w:szCs w:val="21"/>
                    </w:rPr>
                    <w:t>3</w:t>
                  </w:r>
                  <w:r w:rsidRPr="00213D6F">
                    <w:rPr>
                      <w:rFonts w:ascii="ＭＳ 明朝" w:hAnsi="ＭＳ 明朝" w:cs="ＭＳ 明朝" w:hint="eastAsia"/>
                      <w:spacing w:val="6"/>
                      <w:kern w:val="0"/>
                      <w:szCs w:val="21"/>
                    </w:rPr>
                    <w:t>カ月に</w:t>
                  </w:r>
                  <w:r w:rsidRPr="00213D6F">
                    <w:rPr>
                      <w:rFonts w:ascii="ＭＳ 明朝" w:hAnsi="ＭＳ 明朝" w:cs="ＭＳ 明朝" w:hint="eastAsia"/>
                      <w:spacing w:val="6"/>
                      <w:kern w:val="0"/>
                      <w:szCs w:val="21"/>
                    </w:rPr>
                    <w:t>1</w:t>
                  </w:r>
                  <w:r w:rsidRPr="00213D6F">
                    <w:rPr>
                      <w:rFonts w:ascii="ＭＳ 明朝" w:hAnsi="ＭＳ 明朝" w:cs="ＭＳ 明朝" w:hint="eastAsia"/>
                      <w:spacing w:val="6"/>
                      <w:kern w:val="0"/>
                      <w:szCs w:val="21"/>
                    </w:rPr>
                    <w:t>回の頻度で情報セキュリティ委員会を開催しており、情報セキュリティについて全社的な課題の把握及びその対策の検討が行われています。</w:t>
                  </w:r>
                </w:p>
                <w:p w:rsidR="00A16AE6" w:rsidRDefault="00A16AE6" w:rsidP="00A16AE6">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セキュリティアセスメントの実施</w:t>
                  </w:r>
                </w:p>
                <w:p w:rsidR="00A16AE6" w:rsidRPr="00A16AE6" w:rsidRDefault="00A16AE6" w:rsidP="00FD681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16AE6">
                    <w:rPr>
                      <w:rFonts w:ascii="ＭＳ 明朝" w:hAnsi="ＭＳ 明朝" w:cs="ＭＳ 明朝" w:hint="eastAsia"/>
                      <w:spacing w:val="6"/>
                      <w:kern w:val="0"/>
                      <w:szCs w:val="21"/>
                    </w:rPr>
                    <w:t>デロイトトーマツによりサイバーセキュリティ経営チェックシートを用いたアセスメントの実施。現状の課題やそこから想定されるリスクの評価結果を洗い出し、リスクに応じて必要な対応を実施しています。リスク発生時を想定した定期的なインシデント訓練を実施しています。</w:t>
                  </w:r>
                </w:p>
              </w:tc>
            </w:tr>
          </w:tbl>
          <w:p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D54" w:rsidRDefault="00BA1D54">
      <w:r>
        <w:separator/>
      </w:r>
    </w:p>
  </w:endnote>
  <w:endnote w:type="continuationSeparator" w:id="0">
    <w:p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D54" w:rsidRDefault="00BA1D54">
      <w:r>
        <w:separator/>
      </w:r>
    </w:p>
  </w:footnote>
  <w:footnote w:type="continuationSeparator" w:id="0">
    <w:p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0373F5"/>
    <w:multiLevelType w:val="hybridMultilevel"/>
    <w:tmpl w:val="9EF4A75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5EE4629"/>
    <w:multiLevelType w:val="hybridMultilevel"/>
    <w:tmpl w:val="2E7A43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852DBD"/>
    <w:multiLevelType w:val="hybridMultilevel"/>
    <w:tmpl w:val="AFD02FD6"/>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540FFB"/>
    <w:multiLevelType w:val="hybridMultilevel"/>
    <w:tmpl w:val="000ABF3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1D07CFF"/>
    <w:multiLevelType w:val="hybridMultilevel"/>
    <w:tmpl w:val="08E806EA"/>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F827680"/>
    <w:multiLevelType w:val="hybridMultilevel"/>
    <w:tmpl w:val="E83CC6D4"/>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F326D3"/>
    <w:multiLevelType w:val="hybridMultilevel"/>
    <w:tmpl w:val="16809A7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54019DE"/>
    <w:multiLevelType w:val="hybridMultilevel"/>
    <w:tmpl w:val="B2AE3AFC"/>
    <w:lvl w:ilvl="0" w:tplc="D8F27B3C">
      <w:start w:val="1"/>
      <w:numFmt w:val="decimalEnclosedCircle"/>
      <w:lvlText w:val="%1"/>
      <w:lvlJc w:val="left"/>
      <w:pPr>
        <w:ind w:left="840" w:hanging="420"/>
      </w:pPr>
      <w:rPr>
        <w:rFont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90F43DE"/>
    <w:multiLevelType w:val="hybridMultilevel"/>
    <w:tmpl w:val="2E7A43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7332557"/>
    <w:multiLevelType w:val="hybridMultilevel"/>
    <w:tmpl w:val="860038A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A381B73"/>
    <w:multiLevelType w:val="hybridMultilevel"/>
    <w:tmpl w:val="DF7E826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6"/>
  </w:num>
  <w:num w:numId="2">
    <w:abstractNumId w:val="12"/>
  </w:num>
  <w:num w:numId="3">
    <w:abstractNumId w:val="0"/>
  </w:num>
  <w:num w:numId="4">
    <w:abstractNumId w:val="10"/>
  </w:num>
  <w:num w:numId="5">
    <w:abstractNumId w:val="3"/>
  </w:num>
  <w:num w:numId="6">
    <w:abstractNumId w:val="14"/>
  </w:num>
  <w:num w:numId="7">
    <w:abstractNumId w:val="9"/>
  </w:num>
  <w:num w:numId="8">
    <w:abstractNumId w:val="1"/>
  </w:num>
  <w:num w:numId="9">
    <w:abstractNumId w:val="4"/>
  </w:num>
  <w:num w:numId="10">
    <w:abstractNumId w:val="5"/>
  </w:num>
  <w:num w:numId="11">
    <w:abstractNumId w:val="7"/>
  </w:num>
  <w:num w:numId="12">
    <w:abstractNumId w:val="13"/>
  </w:num>
  <w:num w:numId="13">
    <w:abstractNumId w:val="8"/>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662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25CD"/>
    <w:rsid w:val="00084460"/>
    <w:rsid w:val="00085262"/>
    <w:rsid w:val="00087396"/>
    <w:rsid w:val="00090EE1"/>
    <w:rsid w:val="00091F7D"/>
    <w:rsid w:val="00095CB3"/>
    <w:rsid w:val="000B4D35"/>
    <w:rsid w:val="000D2F84"/>
    <w:rsid w:val="000D4313"/>
    <w:rsid w:val="000D7B32"/>
    <w:rsid w:val="000D7DA5"/>
    <w:rsid w:val="000E3674"/>
    <w:rsid w:val="00101FB4"/>
    <w:rsid w:val="0010563A"/>
    <w:rsid w:val="001104B4"/>
    <w:rsid w:val="001104E6"/>
    <w:rsid w:val="00112642"/>
    <w:rsid w:val="00122A9C"/>
    <w:rsid w:val="00125B90"/>
    <w:rsid w:val="00126DED"/>
    <w:rsid w:val="00127BAB"/>
    <w:rsid w:val="00132B6D"/>
    <w:rsid w:val="00150251"/>
    <w:rsid w:val="00154FFB"/>
    <w:rsid w:val="001615E8"/>
    <w:rsid w:val="001628F8"/>
    <w:rsid w:val="001677CA"/>
    <w:rsid w:val="00182DE8"/>
    <w:rsid w:val="00184BB9"/>
    <w:rsid w:val="001874A0"/>
    <w:rsid w:val="00187B53"/>
    <w:rsid w:val="00194809"/>
    <w:rsid w:val="001A252C"/>
    <w:rsid w:val="001B1C31"/>
    <w:rsid w:val="001B2D37"/>
    <w:rsid w:val="001B376A"/>
    <w:rsid w:val="001C130D"/>
    <w:rsid w:val="001C19DC"/>
    <w:rsid w:val="002026A5"/>
    <w:rsid w:val="00203C71"/>
    <w:rsid w:val="00207705"/>
    <w:rsid w:val="00213D6F"/>
    <w:rsid w:val="00215478"/>
    <w:rsid w:val="00221EF5"/>
    <w:rsid w:val="002231B4"/>
    <w:rsid w:val="0024317B"/>
    <w:rsid w:val="00246783"/>
    <w:rsid w:val="00247501"/>
    <w:rsid w:val="00252385"/>
    <w:rsid w:val="00256730"/>
    <w:rsid w:val="00261B17"/>
    <w:rsid w:val="00270A21"/>
    <w:rsid w:val="0027635A"/>
    <w:rsid w:val="002802EC"/>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55198"/>
    <w:rsid w:val="00462146"/>
    <w:rsid w:val="004651FB"/>
    <w:rsid w:val="0046628F"/>
    <w:rsid w:val="00483F63"/>
    <w:rsid w:val="004B0BD4"/>
    <w:rsid w:val="004B38A3"/>
    <w:rsid w:val="004D4F70"/>
    <w:rsid w:val="004E264F"/>
    <w:rsid w:val="00500737"/>
    <w:rsid w:val="005067C2"/>
    <w:rsid w:val="00514854"/>
    <w:rsid w:val="0051532F"/>
    <w:rsid w:val="00516839"/>
    <w:rsid w:val="0051732C"/>
    <w:rsid w:val="0052156A"/>
    <w:rsid w:val="00521BFC"/>
    <w:rsid w:val="00523C5F"/>
    <w:rsid w:val="00526508"/>
    <w:rsid w:val="00553E84"/>
    <w:rsid w:val="005755CD"/>
    <w:rsid w:val="00580E8C"/>
    <w:rsid w:val="0058161B"/>
    <w:rsid w:val="00590B9B"/>
    <w:rsid w:val="00591A8A"/>
    <w:rsid w:val="0059262C"/>
    <w:rsid w:val="00594AF7"/>
    <w:rsid w:val="005B62ED"/>
    <w:rsid w:val="005B734F"/>
    <w:rsid w:val="005B7641"/>
    <w:rsid w:val="005F2E79"/>
    <w:rsid w:val="005F7A0C"/>
    <w:rsid w:val="00611B3B"/>
    <w:rsid w:val="006136CB"/>
    <w:rsid w:val="00620169"/>
    <w:rsid w:val="006248AD"/>
    <w:rsid w:val="006313EB"/>
    <w:rsid w:val="00632325"/>
    <w:rsid w:val="0063260D"/>
    <w:rsid w:val="00632765"/>
    <w:rsid w:val="00633711"/>
    <w:rsid w:val="00634E7E"/>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52E0C"/>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41ED"/>
    <w:rsid w:val="007E5250"/>
    <w:rsid w:val="00804B3B"/>
    <w:rsid w:val="00816759"/>
    <w:rsid w:val="00822DA9"/>
    <w:rsid w:val="00843F68"/>
    <w:rsid w:val="0084478F"/>
    <w:rsid w:val="008459EA"/>
    <w:rsid w:val="00847130"/>
    <w:rsid w:val="00847788"/>
    <w:rsid w:val="00860BE2"/>
    <w:rsid w:val="00865B12"/>
    <w:rsid w:val="008747CA"/>
    <w:rsid w:val="00880486"/>
    <w:rsid w:val="00880EB5"/>
    <w:rsid w:val="00881D72"/>
    <w:rsid w:val="008A5BE2"/>
    <w:rsid w:val="008A74E2"/>
    <w:rsid w:val="008B45A1"/>
    <w:rsid w:val="008C1A9C"/>
    <w:rsid w:val="008E0DC5"/>
    <w:rsid w:val="008E60F9"/>
    <w:rsid w:val="008F09B5"/>
    <w:rsid w:val="008F4EBB"/>
    <w:rsid w:val="00902744"/>
    <w:rsid w:val="009058CC"/>
    <w:rsid w:val="00912E20"/>
    <w:rsid w:val="009156A4"/>
    <w:rsid w:val="009243FD"/>
    <w:rsid w:val="0094225E"/>
    <w:rsid w:val="00964BDD"/>
    <w:rsid w:val="009653AA"/>
    <w:rsid w:val="00970233"/>
    <w:rsid w:val="0097041C"/>
    <w:rsid w:val="00972B7B"/>
    <w:rsid w:val="00975A98"/>
    <w:rsid w:val="00977317"/>
    <w:rsid w:val="009811EE"/>
    <w:rsid w:val="009877BF"/>
    <w:rsid w:val="0099009C"/>
    <w:rsid w:val="0099702E"/>
    <w:rsid w:val="009A5C7A"/>
    <w:rsid w:val="009B6276"/>
    <w:rsid w:val="009C0392"/>
    <w:rsid w:val="009C7AC7"/>
    <w:rsid w:val="009E3361"/>
    <w:rsid w:val="009F6625"/>
    <w:rsid w:val="00A16AE6"/>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953E7"/>
    <w:rsid w:val="00AA16AF"/>
    <w:rsid w:val="00AA47A2"/>
    <w:rsid w:val="00AB5A63"/>
    <w:rsid w:val="00AD294D"/>
    <w:rsid w:val="00AD39FB"/>
    <w:rsid w:val="00AD4077"/>
    <w:rsid w:val="00AE6A68"/>
    <w:rsid w:val="00B02404"/>
    <w:rsid w:val="00B278A5"/>
    <w:rsid w:val="00B300D5"/>
    <w:rsid w:val="00B3363C"/>
    <w:rsid w:val="00B33D14"/>
    <w:rsid w:val="00B35E61"/>
    <w:rsid w:val="00B36536"/>
    <w:rsid w:val="00B3679F"/>
    <w:rsid w:val="00B40A63"/>
    <w:rsid w:val="00B45C60"/>
    <w:rsid w:val="00B50A0A"/>
    <w:rsid w:val="00B705FB"/>
    <w:rsid w:val="00B86108"/>
    <w:rsid w:val="00B9474D"/>
    <w:rsid w:val="00BA1D54"/>
    <w:rsid w:val="00BB6C25"/>
    <w:rsid w:val="00BB79CF"/>
    <w:rsid w:val="00BD603A"/>
    <w:rsid w:val="00BF3517"/>
    <w:rsid w:val="00BF55A2"/>
    <w:rsid w:val="00C05662"/>
    <w:rsid w:val="00C11209"/>
    <w:rsid w:val="00C23001"/>
    <w:rsid w:val="00C24949"/>
    <w:rsid w:val="00C3670A"/>
    <w:rsid w:val="00C4669E"/>
    <w:rsid w:val="00C71411"/>
    <w:rsid w:val="00C73EB2"/>
    <w:rsid w:val="00C7532F"/>
    <w:rsid w:val="00C77D44"/>
    <w:rsid w:val="00C932DE"/>
    <w:rsid w:val="00C966DC"/>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158A"/>
    <w:rsid w:val="00DB6798"/>
    <w:rsid w:val="00DB7E0E"/>
    <w:rsid w:val="00DC560E"/>
    <w:rsid w:val="00DD185B"/>
    <w:rsid w:val="00DD2331"/>
    <w:rsid w:val="00DD56DC"/>
    <w:rsid w:val="00DE0DF8"/>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96D60"/>
    <w:rsid w:val="00EA0D0B"/>
    <w:rsid w:val="00EA15DB"/>
    <w:rsid w:val="00EA39F5"/>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811"/>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B1F8A18"/>
  <w15:chartTrackingRefBased/>
  <w:writeProtection w:cryptProviderType="rsaAES" w:cryptAlgorithmClass="hash" w:cryptAlgorithmType="typeAny" w:cryptAlgorithmSid="14" w:cryptSpinCount="100000" w:hash="rbBPjzQbMQcDTuT1mw5OQkxnEJMRVXx1RFAYz28imtmvvoegSM66jX/4W6rGSnyLO/LZ7f8GS40Zhy5dXS7mOw==" w:salt="ijeqmV26QE2Dzs91cWf+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80486"/>
    <w:rPr>
      <w:color w:val="0000FF"/>
      <w:u w:val="single"/>
    </w:rPr>
  </w:style>
  <w:style w:type="character" w:styleId="af1">
    <w:name w:val="FollowedHyperlink"/>
    <w:basedOn w:val="a0"/>
    <w:uiPriority w:val="99"/>
    <w:semiHidden/>
    <w:unhideWhenUsed/>
    <w:rsid w:val="008804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cho.co.jp/corporate/ir/management/dx/main/00/teaserItems1/00/linkList/0/link/NihonChouzai_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ho.co.jp/corporate/ir/management/dx.html" TargetMode="External"/><Relationship Id="rId5" Type="http://schemas.openxmlformats.org/officeDocument/2006/relationships/webSettings" Target="webSettings.xml"/><Relationship Id="rId10" Type="http://schemas.openxmlformats.org/officeDocument/2006/relationships/hyperlink" Target="https://www.nicho.co.jp/corporate/ir/management/dx/main/00/teaserItems1/00/linkList/0/link/NihonChouzai_DX.pdf" TargetMode="External"/><Relationship Id="rId4" Type="http://schemas.openxmlformats.org/officeDocument/2006/relationships/settings" Target="settings.xml"/><Relationship Id="rId9" Type="http://schemas.openxmlformats.org/officeDocument/2006/relationships/hyperlink" Target="https://www.nicho.co.jp/corporate/ir/management/dx/main/00/teaserItems1/00/linkList/0/link/NihonChouzai_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F331F-EE67-4622-8571-6203CA581EB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1130</ap:Words>
  <ap:Characters>6441</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